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273181B1" w:rsidR="0017571B" w:rsidRPr="004C0112" w:rsidRDefault="00AC6DD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 of Arts and Letters</w:t>
            </w:r>
          </w:p>
        </w:tc>
        <w:tc>
          <w:tcPr>
            <w:tcW w:w="7920" w:type="dxa"/>
          </w:tcPr>
          <w:p w14:paraId="4B219735" w14:textId="20BB31E6" w:rsidR="0017571B" w:rsidRPr="004C0112" w:rsidRDefault="00AC6DD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English</w:t>
            </w:r>
          </w:p>
        </w:tc>
      </w:tr>
      <w:tr w:rsidR="0017571B" w14:paraId="3FB6829E" w14:textId="77777777" w:rsidTr="00B33C1F">
        <w:tc>
          <w:tcPr>
            <w:tcW w:w="14395" w:type="dxa"/>
            <w:gridSpan w:val="2"/>
          </w:tcPr>
          <w:p w14:paraId="7CC57F6D" w14:textId="690ABB1F" w:rsidR="0017571B" w:rsidRPr="004C0112" w:rsidRDefault="00AC6DD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Graduate Certificate in Teaching English to Speakers of Other Languages 0416</w:t>
            </w:r>
          </w:p>
        </w:tc>
      </w:tr>
      <w:tr w:rsidR="00141CFC" w14:paraId="56A671A4" w14:textId="77777777" w:rsidTr="00B33C1F">
        <w:tc>
          <w:tcPr>
            <w:tcW w:w="14395" w:type="dxa"/>
            <w:gridSpan w:val="2"/>
          </w:tcPr>
          <w:p w14:paraId="6AD05DAC" w14:textId="3FE24AA6" w:rsidR="00141CFC" w:rsidRPr="004C0112" w:rsidRDefault="00AC6DD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Alison Youngblood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49C14A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C6DD2">
              <w:rPr>
                <w:rFonts w:ascii="Times New Roman" w:hAnsi="Times New Roman"/>
                <w:b/>
                <w:bCs/>
                <w:sz w:val="20"/>
                <w:szCs w:val="20"/>
              </w:rPr>
              <w:t xml:space="preserve"> Students can identify and </w:t>
            </w:r>
            <w:proofErr w:type="gramStart"/>
            <w:r w:rsidR="00AC6DD2">
              <w:rPr>
                <w:rFonts w:ascii="Times New Roman" w:hAnsi="Times New Roman"/>
                <w:b/>
                <w:bCs/>
                <w:sz w:val="20"/>
                <w:szCs w:val="20"/>
              </w:rPr>
              <w:t>explain  three</w:t>
            </w:r>
            <w:proofErr w:type="gramEnd"/>
            <w:r w:rsidR="00AC6DD2">
              <w:rPr>
                <w:rFonts w:ascii="Times New Roman" w:hAnsi="Times New Roman"/>
                <w:b/>
                <w:bCs/>
                <w:sz w:val="20"/>
                <w:szCs w:val="20"/>
              </w:rPr>
              <w:t xml:space="preserve"> evidence-based teaching methods that would most support language acquisition in an instructor- described teaching scenario.</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5A9DE25" w:rsidR="007706BE" w:rsidRPr="00FF3DCE" w:rsidRDefault="00871700"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Faculty rating of </w:t>
            </w:r>
            <w:r w:rsidR="00AC6DD2">
              <w:rPr>
                <w:rFonts w:ascii="Times New Roman" w:hAnsi="Times New Roman"/>
                <w:b/>
                <w:bCs/>
                <w:sz w:val="20"/>
                <w:szCs w:val="20"/>
              </w:rPr>
              <w:t>ENG 565 Midterm Exam</w:t>
            </w:r>
            <w:r>
              <w:rPr>
                <w:rFonts w:ascii="Times New Roman" w:hAnsi="Times New Roman"/>
                <w:b/>
                <w:bCs/>
                <w:sz w:val="20"/>
                <w:szCs w:val="20"/>
              </w:rPr>
              <w:t xml:space="preserve"> Question 2</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sidRPr="00871700">
              <w:rPr>
                <w:rFonts w:ascii="Times New Roman" w:hAnsi="Times New Roman"/>
                <w:b/>
                <w:sz w:val="20"/>
                <w:szCs w:val="20"/>
                <w:highlight w:val="yellow"/>
              </w:rPr>
              <w:fldChar w:fldCharType="begin">
                <w:ffData>
                  <w:name w:val="Check3"/>
                  <w:enabled/>
                  <w:calcOnExit w:val="0"/>
                  <w:checkBox>
                    <w:sizeAuto/>
                    <w:default w:val="0"/>
                  </w:checkBox>
                </w:ffData>
              </w:fldChar>
            </w:r>
            <w:bookmarkStart w:id="0" w:name="Check3"/>
            <w:r w:rsidRPr="00871700">
              <w:rPr>
                <w:rFonts w:ascii="Times New Roman" w:hAnsi="Times New Roman"/>
                <w:b/>
                <w:sz w:val="20"/>
                <w:szCs w:val="20"/>
                <w:highlight w:val="yellow"/>
              </w:rPr>
              <w:instrText xml:space="preserve"> FORMCHECKBOX </w:instrText>
            </w:r>
            <w:r w:rsidR="00E0034F">
              <w:rPr>
                <w:rFonts w:ascii="Times New Roman" w:hAnsi="Times New Roman"/>
                <w:b/>
                <w:sz w:val="20"/>
                <w:szCs w:val="20"/>
                <w:highlight w:val="yellow"/>
              </w:rPr>
            </w:r>
            <w:r w:rsidR="00E0034F">
              <w:rPr>
                <w:rFonts w:ascii="Times New Roman" w:hAnsi="Times New Roman"/>
                <w:b/>
                <w:sz w:val="20"/>
                <w:szCs w:val="20"/>
                <w:highlight w:val="yellow"/>
              </w:rPr>
              <w:fldChar w:fldCharType="separate"/>
            </w:r>
            <w:r w:rsidRPr="00871700">
              <w:rPr>
                <w:rFonts w:ascii="Times New Roman" w:hAnsi="Times New Roman"/>
                <w:b/>
                <w:sz w:val="20"/>
                <w:szCs w:val="20"/>
                <w:highlight w:val="yellow"/>
              </w:rPr>
              <w:fldChar w:fldCharType="end"/>
            </w:r>
            <w:bookmarkEnd w:id="0"/>
            <w:r w:rsidRPr="00871700">
              <w:rPr>
                <w:rFonts w:ascii="Times New Roman" w:hAnsi="Times New Roman"/>
                <w:b/>
                <w:sz w:val="20"/>
                <w:szCs w:val="20"/>
                <w:highlight w:val="yellow"/>
              </w:rPr>
              <w:t xml:space="preserve"> </w:t>
            </w:r>
            <w:r w:rsidR="007706BE" w:rsidRPr="00871700">
              <w:rPr>
                <w:rFonts w:ascii="Times New Roman" w:hAnsi="Times New Roman"/>
                <w:b/>
                <w:sz w:val="20"/>
                <w:szCs w:val="20"/>
                <w:highlight w:val="yellow"/>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E0034F">
              <w:rPr>
                <w:rFonts w:ascii="Times New Roman" w:hAnsi="Times New Roman"/>
                <w:b/>
                <w:sz w:val="20"/>
                <w:szCs w:val="20"/>
              </w:rPr>
            </w:r>
            <w:r w:rsidR="00E0034F">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E0034F">
              <w:rPr>
                <w:rFonts w:ascii="Times New Roman" w:hAnsi="Times New Roman"/>
                <w:b/>
                <w:sz w:val="20"/>
                <w:szCs w:val="20"/>
              </w:rPr>
            </w:r>
            <w:r w:rsidR="00E0034F">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E0034F">
              <w:rPr>
                <w:rFonts w:ascii="Times New Roman" w:hAnsi="Times New Roman"/>
                <w:b/>
                <w:sz w:val="20"/>
                <w:szCs w:val="20"/>
              </w:rPr>
            </w:r>
            <w:r w:rsidR="00E0034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C912E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E0034F">
              <w:rPr>
                <w:rFonts w:ascii="Times New Roman" w:hAnsi="Times New Roman"/>
                <w:b/>
                <w:sz w:val="20"/>
                <w:szCs w:val="20"/>
              </w:rPr>
            </w:r>
            <w:r w:rsidR="00E0034F">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E0034F">
              <w:rPr>
                <w:rFonts w:ascii="Times New Roman" w:hAnsi="Times New Roman"/>
                <w:b/>
                <w:sz w:val="20"/>
                <w:szCs w:val="20"/>
              </w:rPr>
            </w:r>
            <w:r w:rsidR="00E0034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14D44347" w14:textId="4A2EE33D" w:rsidR="00A97885" w:rsidRDefault="00AC6DD2" w:rsidP="0075740F">
            <w:pPr>
              <w:jc w:val="both"/>
              <w:rPr>
                <w:rFonts w:ascii="Times New Roman" w:hAnsi="Times New Roman"/>
                <w:bCs/>
                <w:sz w:val="20"/>
                <w:szCs w:val="20"/>
              </w:rPr>
            </w:pPr>
            <w:r>
              <w:rPr>
                <w:rFonts w:ascii="Times New Roman" w:hAnsi="Times New Roman"/>
                <w:bCs/>
                <w:sz w:val="20"/>
                <w:szCs w:val="20"/>
              </w:rPr>
              <w:t>We had no graduate students in ENG 471G</w:t>
            </w:r>
            <w:r w:rsidR="00A97885">
              <w:rPr>
                <w:rFonts w:ascii="Times New Roman" w:hAnsi="Times New Roman"/>
                <w:bCs/>
                <w:sz w:val="20"/>
                <w:szCs w:val="20"/>
              </w:rPr>
              <w:t>,</w:t>
            </w:r>
            <w:r>
              <w:rPr>
                <w:rFonts w:ascii="Times New Roman" w:hAnsi="Times New Roman"/>
                <w:bCs/>
                <w:sz w:val="20"/>
                <w:szCs w:val="20"/>
              </w:rPr>
              <w:t xml:space="preserve"> our capstone course, for the 2020-2021 school year</w:t>
            </w:r>
            <w:r w:rsidR="00042717">
              <w:rPr>
                <w:rFonts w:ascii="Times New Roman" w:hAnsi="Times New Roman"/>
                <w:bCs/>
                <w:sz w:val="20"/>
                <w:szCs w:val="20"/>
              </w:rPr>
              <w:t xml:space="preserve">. </w:t>
            </w:r>
            <w:r w:rsidR="00A97885">
              <w:rPr>
                <w:rFonts w:ascii="Times New Roman" w:hAnsi="Times New Roman"/>
                <w:bCs/>
                <w:sz w:val="20"/>
                <w:szCs w:val="20"/>
              </w:rPr>
              <w:t xml:space="preserve">This was a challenge for the ASL because </w:t>
            </w:r>
            <w:proofErr w:type="gramStart"/>
            <w:r w:rsidR="00A97885">
              <w:rPr>
                <w:rFonts w:ascii="Times New Roman" w:hAnsi="Times New Roman"/>
                <w:bCs/>
                <w:sz w:val="20"/>
                <w:szCs w:val="20"/>
              </w:rPr>
              <w:t>a</w:t>
            </w:r>
            <w:r w:rsidR="00042717">
              <w:rPr>
                <w:rFonts w:ascii="Times New Roman" w:hAnsi="Times New Roman"/>
                <w:bCs/>
                <w:sz w:val="20"/>
                <w:szCs w:val="20"/>
              </w:rPr>
              <w:t>ll of</w:t>
            </w:r>
            <w:proofErr w:type="gramEnd"/>
            <w:r w:rsidR="00042717">
              <w:rPr>
                <w:rFonts w:ascii="Times New Roman" w:hAnsi="Times New Roman"/>
                <w:bCs/>
                <w:sz w:val="20"/>
                <w:szCs w:val="20"/>
              </w:rPr>
              <w:t xml:space="preserve"> our assessments for the ASL, which dovetail with our required assessments to meet </w:t>
            </w:r>
            <w:r w:rsidR="00A97885">
              <w:rPr>
                <w:rFonts w:ascii="Times New Roman" w:hAnsi="Times New Roman"/>
                <w:bCs/>
                <w:sz w:val="20"/>
                <w:szCs w:val="20"/>
              </w:rPr>
              <w:t xml:space="preserve">Kentucky Educational Professional Standards Board are included in ENG 471G.  This is the first time this has </w:t>
            </w:r>
            <w:proofErr w:type="gramStart"/>
            <w:r w:rsidR="00A97885">
              <w:rPr>
                <w:rFonts w:ascii="Times New Roman" w:hAnsi="Times New Roman"/>
                <w:bCs/>
                <w:sz w:val="20"/>
                <w:szCs w:val="20"/>
              </w:rPr>
              <w:t>happened,</w:t>
            </w:r>
            <w:r w:rsidR="00042717">
              <w:rPr>
                <w:rFonts w:ascii="Times New Roman" w:hAnsi="Times New Roman"/>
                <w:bCs/>
                <w:sz w:val="20"/>
                <w:szCs w:val="20"/>
              </w:rPr>
              <w:t xml:space="preserve"> </w:t>
            </w:r>
            <w:r>
              <w:rPr>
                <w:rFonts w:ascii="Times New Roman" w:hAnsi="Times New Roman"/>
                <w:bCs/>
                <w:sz w:val="20"/>
                <w:szCs w:val="20"/>
              </w:rPr>
              <w:t xml:space="preserve"> so</w:t>
            </w:r>
            <w:proofErr w:type="gramEnd"/>
            <w:r>
              <w:rPr>
                <w:rFonts w:ascii="Times New Roman" w:hAnsi="Times New Roman"/>
                <w:bCs/>
                <w:sz w:val="20"/>
                <w:szCs w:val="20"/>
              </w:rPr>
              <w:t xml:space="preserve"> the faculty opted to select students earlier in their program of study</w:t>
            </w:r>
            <w:r w:rsidR="00A97885">
              <w:rPr>
                <w:rFonts w:ascii="Times New Roman" w:hAnsi="Times New Roman"/>
                <w:bCs/>
                <w:sz w:val="20"/>
                <w:szCs w:val="20"/>
              </w:rPr>
              <w:t xml:space="preserve"> and review one key skill introduced in this course that is assessed in ENG 471G. This is a unique stop-gap for a unique situation. That is why there is only 1 assessment. There is a full cohort in spring 2022. </w:t>
            </w:r>
          </w:p>
          <w:p w14:paraId="76E61B5F" w14:textId="77777777" w:rsidR="00A97885" w:rsidRDefault="00A97885" w:rsidP="0075740F">
            <w:pPr>
              <w:jc w:val="both"/>
              <w:rPr>
                <w:rFonts w:ascii="Times New Roman" w:hAnsi="Times New Roman"/>
                <w:bCs/>
                <w:sz w:val="20"/>
                <w:szCs w:val="20"/>
              </w:rPr>
            </w:pPr>
          </w:p>
          <w:p w14:paraId="5451B8C0" w14:textId="160C6A39" w:rsidR="0075740F" w:rsidRDefault="00AC6DD2" w:rsidP="0075740F">
            <w:pPr>
              <w:jc w:val="both"/>
              <w:rPr>
                <w:rFonts w:ascii="Times New Roman" w:hAnsi="Times New Roman"/>
                <w:bCs/>
                <w:sz w:val="20"/>
                <w:szCs w:val="20"/>
              </w:rPr>
            </w:pPr>
            <w:r>
              <w:rPr>
                <w:rFonts w:ascii="Times New Roman" w:hAnsi="Times New Roman"/>
                <w:bCs/>
                <w:sz w:val="20"/>
                <w:szCs w:val="20"/>
              </w:rPr>
              <w:t xml:space="preserve">An important competency for student success in ENG 471G is selecting appropriate evidence-based teaching methods to guide instruction during the 30 hours of practical experience. Therefore, the faculty turned to ENG 565 where students first encounter this content. </w:t>
            </w:r>
            <w:r w:rsidR="009A14CB">
              <w:rPr>
                <w:rFonts w:ascii="Times New Roman" w:hAnsi="Times New Roman"/>
                <w:bCs/>
                <w:sz w:val="20"/>
                <w:szCs w:val="20"/>
              </w:rPr>
              <w:t>As</w:t>
            </w:r>
            <w:r w:rsidR="00871700">
              <w:rPr>
                <w:rFonts w:ascii="Times New Roman" w:hAnsi="Times New Roman"/>
                <w:bCs/>
                <w:sz w:val="20"/>
                <w:szCs w:val="20"/>
              </w:rPr>
              <w:t xml:space="preserve"> our students met or exceeded our ASL learning goals for 2019-2020 that </w:t>
            </w:r>
            <w:r w:rsidR="00871700">
              <w:rPr>
                <w:rFonts w:ascii="Times New Roman" w:hAnsi="Times New Roman"/>
                <w:bCs/>
                <w:sz w:val="20"/>
                <w:szCs w:val="20"/>
              </w:rPr>
              <w:lastRenderedPageBreak/>
              <w:t>focused on knowledge and application of research in SLA</w:t>
            </w:r>
            <w:r w:rsidR="009A14CB">
              <w:rPr>
                <w:rFonts w:ascii="Times New Roman" w:hAnsi="Times New Roman"/>
                <w:bCs/>
                <w:sz w:val="20"/>
                <w:szCs w:val="20"/>
              </w:rPr>
              <w:t>, t</w:t>
            </w:r>
            <w:r w:rsidR="00871700">
              <w:rPr>
                <w:rFonts w:ascii="Times New Roman" w:hAnsi="Times New Roman"/>
                <w:bCs/>
                <w:sz w:val="20"/>
                <w:szCs w:val="20"/>
              </w:rPr>
              <w:t>his was a good opportunity to identify a new area of focus to assess student learning</w:t>
            </w:r>
            <w:r w:rsidR="00A97885">
              <w:rPr>
                <w:rFonts w:ascii="Times New Roman" w:hAnsi="Times New Roman"/>
                <w:bCs/>
                <w:sz w:val="20"/>
                <w:szCs w:val="20"/>
              </w:rPr>
              <w:t xml:space="preserve"> that will be expanded into several levels in the 2021-2022 ASL in ENG 471G</w:t>
            </w:r>
            <w:r w:rsidR="00871700">
              <w:rPr>
                <w:rFonts w:ascii="Times New Roman" w:hAnsi="Times New Roman"/>
                <w:bCs/>
                <w:sz w:val="20"/>
                <w:szCs w:val="20"/>
              </w:rPr>
              <w:t xml:space="preserve">.  </w:t>
            </w:r>
          </w:p>
          <w:p w14:paraId="31A57456" w14:textId="336CD7F1" w:rsidR="00871700" w:rsidRDefault="00871700" w:rsidP="0075740F">
            <w:pPr>
              <w:jc w:val="both"/>
              <w:rPr>
                <w:rFonts w:ascii="Times New Roman" w:hAnsi="Times New Roman"/>
                <w:bCs/>
                <w:sz w:val="20"/>
                <w:szCs w:val="20"/>
              </w:rPr>
            </w:pPr>
          </w:p>
          <w:p w14:paraId="71A50413" w14:textId="7553BBFC" w:rsidR="00871700" w:rsidRDefault="00871700" w:rsidP="0075740F">
            <w:pPr>
              <w:jc w:val="both"/>
              <w:rPr>
                <w:rFonts w:ascii="Times New Roman" w:hAnsi="Times New Roman"/>
                <w:bCs/>
                <w:sz w:val="20"/>
                <w:szCs w:val="20"/>
              </w:rPr>
            </w:pPr>
            <w:r>
              <w:rPr>
                <w:rFonts w:ascii="Times New Roman" w:hAnsi="Times New Roman"/>
                <w:bCs/>
                <w:sz w:val="20"/>
                <w:szCs w:val="20"/>
              </w:rPr>
              <w:t xml:space="preserve">Eight students enrolled in ENG 565 this semester. Our goal was for 6 of the 8 students, or 75%, to have an average score of 2 or higher on the 2020-2021 ASL TESOL Graduate Artifact Rubric.  TESOL faculty reviewed </w:t>
            </w:r>
            <w:r w:rsidR="00B67DC7">
              <w:rPr>
                <w:rFonts w:ascii="Times New Roman" w:hAnsi="Times New Roman"/>
                <w:bCs/>
                <w:sz w:val="20"/>
                <w:szCs w:val="20"/>
              </w:rPr>
              <w:t xml:space="preserve">blinded copies of question 2 from the midterm exam and independently rated each student using the </w:t>
            </w:r>
            <w:proofErr w:type="gramStart"/>
            <w:r w:rsidR="00B67DC7">
              <w:rPr>
                <w:rFonts w:ascii="Times New Roman" w:hAnsi="Times New Roman"/>
                <w:bCs/>
                <w:sz w:val="20"/>
                <w:szCs w:val="20"/>
              </w:rPr>
              <w:t>aforementioned rubric</w:t>
            </w:r>
            <w:proofErr w:type="gramEnd"/>
            <w:r w:rsidR="00B67DC7">
              <w:rPr>
                <w:rFonts w:ascii="Times New Roman" w:hAnsi="Times New Roman"/>
                <w:bCs/>
                <w:sz w:val="20"/>
                <w:szCs w:val="20"/>
              </w:rPr>
              <w:t xml:space="preserve">. </w:t>
            </w:r>
            <w:r w:rsidR="00ED288C">
              <w:rPr>
                <w:rFonts w:ascii="Times New Roman" w:hAnsi="Times New Roman"/>
                <w:bCs/>
                <w:sz w:val="20"/>
                <w:szCs w:val="20"/>
              </w:rPr>
              <w:t xml:space="preserve"> We exceeded this goal.  </w:t>
            </w:r>
          </w:p>
          <w:p w14:paraId="285FA3FD" w14:textId="77777777" w:rsidR="00A97885" w:rsidRDefault="00A97885" w:rsidP="0075740F">
            <w:pPr>
              <w:jc w:val="both"/>
              <w:rPr>
                <w:rFonts w:ascii="Times New Roman" w:hAnsi="Times New Roman"/>
                <w:bCs/>
                <w:sz w:val="20"/>
                <w:szCs w:val="20"/>
              </w:rPr>
            </w:pPr>
          </w:p>
          <w:p w14:paraId="79E71AB3" w14:textId="6CCAE4A2" w:rsidR="00ED288C" w:rsidRPr="00FF3DCE" w:rsidRDefault="00ED288C" w:rsidP="0075740F">
            <w:pPr>
              <w:jc w:val="both"/>
              <w:rPr>
                <w:rFonts w:ascii="Times New Roman" w:hAnsi="Times New Roman"/>
                <w:bCs/>
                <w:sz w:val="20"/>
                <w:szCs w:val="20"/>
              </w:rPr>
            </w:pPr>
            <w:r>
              <w:rPr>
                <w:rFonts w:ascii="Times New Roman" w:hAnsi="Times New Roman"/>
                <w:bCs/>
                <w:sz w:val="20"/>
                <w:szCs w:val="20"/>
              </w:rPr>
              <w:t>We plan to assess the same learning outcome with a</w:t>
            </w:r>
            <w:r w:rsidR="00A97885">
              <w:rPr>
                <w:rFonts w:ascii="Times New Roman" w:hAnsi="Times New Roman"/>
                <w:bCs/>
                <w:sz w:val="20"/>
                <w:szCs w:val="20"/>
              </w:rPr>
              <w:t>n ENG 471G</w:t>
            </w:r>
            <w:r>
              <w:rPr>
                <w:rFonts w:ascii="Times New Roman" w:hAnsi="Times New Roman"/>
                <w:bCs/>
                <w:sz w:val="20"/>
                <w:szCs w:val="20"/>
              </w:rPr>
              <w:t xml:space="preserve"> artifact in spring 2022 with an expanded emphasis on each student’s ability to explain </w:t>
            </w:r>
            <w:r w:rsidRPr="00ED288C">
              <w:rPr>
                <w:rFonts w:ascii="Times New Roman" w:hAnsi="Times New Roman"/>
                <w:bCs/>
                <w:i/>
                <w:iCs/>
                <w:sz w:val="20"/>
                <w:szCs w:val="20"/>
              </w:rPr>
              <w:t>why</w:t>
            </w:r>
            <w:r>
              <w:rPr>
                <w:rFonts w:ascii="Times New Roman" w:hAnsi="Times New Roman"/>
                <w:bCs/>
                <w:sz w:val="20"/>
                <w:szCs w:val="20"/>
              </w:rPr>
              <w:t xml:space="preserve"> a particular method(s) is appropriate for the situation</w:t>
            </w:r>
            <w:r w:rsidR="00A97885">
              <w:rPr>
                <w:rFonts w:ascii="Times New Roman" w:hAnsi="Times New Roman"/>
                <w:bCs/>
                <w:sz w:val="20"/>
                <w:szCs w:val="20"/>
              </w:rPr>
              <w:t xml:space="preserve"> and appropriate additional ASL learning outcomes that encompass the full capstone teaching portfolio.</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3E39A680" w:rsidR="001160F4" w:rsidRPr="003A32E4" w:rsidRDefault="00B67DC7"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 xml:space="preserve">Students can identify and </w:t>
            </w:r>
            <w:proofErr w:type="gramStart"/>
            <w:r>
              <w:rPr>
                <w:rFonts w:ascii="Times New Roman" w:hAnsi="Times New Roman"/>
                <w:b/>
                <w:bCs/>
                <w:sz w:val="20"/>
                <w:szCs w:val="20"/>
              </w:rPr>
              <w:t>explain  three</w:t>
            </w:r>
            <w:proofErr w:type="gramEnd"/>
            <w:r>
              <w:rPr>
                <w:rFonts w:ascii="Times New Roman" w:hAnsi="Times New Roman"/>
                <w:b/>
                <w:bCs/>
                <w:sz w:val="20"/>
                <w:szCs w:val="20"/>
              </w:rPr>
              <w:t xml:space="preserve"> evidence-based teaching methods that would most support language acquisition in an instructor- described teaching scenario.</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63D4E87" w14:textId="35420AF1" w:rsidR="009A14CB" w:rsidRPr="00A97885" w:rsidRDefault="00D51E71" w:rsidP="00ED288C">
            <w:pPr>
              <w:spacing w:line="235" w:lineRule="atLeast"/>
              <w:rPr>
                <w:rFonts w:cs="Calibri"/>
                <w:color w:val="000000" w:themeColor="text1"/>
              </w:rPr>
            </w:pPr>
            <w:r w:rsidRPr="00A97885">
              <w:rPr>
                <w:rFonts w:cs="Calibri"/>
                <w:color w:val="000000" w:themeColor="text1"/>
              </w:rPr>
              <w:t xml:space="preserve">ENG 565 is a required course for certificate seekers.  The artifact used to measure this SLO is the second question on the ENG 565 midterm exam given in Spring 2021. </w:t>
            </w:r>
            <w:r w:rsidR="009A14CB" w:rsidRPr="00A97885">
              <w:rPr>
                <w:rFonts w:cs="Calibri"/>
                <w:color w:val="000000" w:themeColor="text1"/>
              </w:rPr>
              <w:t>The options available to students for this question depended on their status or otherwise as P-12 teachers.</w:t>
            </w:r>
            <w:r w:rsidRPr="00A97885">
              <w:rPr>
                <w:rFonts w:cs="Calibri"/>
                <w:color w:val="000000" w:themeColor="text1"/>
              </w:rPr>
              <w:t xml:space="preserve"> The questions follow:</w:t>
            </w:r>
          </w:p>
          <w:p w14:paraId="631D0821" w14:textId="77777777" w:rsidR="00D51E71" w:rsidRPr="00A97885" w:rsidRDefault="00D51E71" w:rsidP="00ED288C">
            <w:pPr>
              <w:spacing w:line="235" w:lineRule="atLeast"/>
              <w:rPr>
                <w:rFonts w:cs="Calibri"/>
                <w:color w:val="000000" w:themeColor="text1"/>
              </w:rPr>
            </w:pPr>
          </w:p>
          <w:p w14:paraId="7A33DDB1" w14:textId="77777777" w:rsidR="00ED288C" w:rsidRPr="009A14CB" w:rsidRDefault="00B67DC7" w:rsidP="00ED288C">
            <w:pPr>
              <w:spacing w:line="235" w:lineRule="atLeast"/>
              <w:rPr>
                <w:rFonts w:asciiTheme="majorHAnsi" w:hAnsiTheme="majorHAnsi" w:cstheme="majorHAnsi"/>
                <w:color w:val="000000"/>
              </w:rPr>
            </w:pPr>
            <w:r w:rsidRPr="009A14CB">
              <w:rPr>
                <w:rFonts w:asciiTheme="majorHAnsi" w:hAnsiTheme="majorHAnsi" w:cstheme="majorHAnsi"/>
                <w:color w:val="000000"/>
              </w:rPr>
              <w:t>Let's say you had a group of 7</w:t>
            </w:r>
            <w:r w:rsidRPr="009A14CB">
              <w:rPr>
                <w:rFonts w:asciiTheme="majorHAnsi" w:hAnsiTheme="majorHAnsi" w:cstheme="majorHAnsi"/>
                <w:color w:val="000000"/>
                <w:bdr w:val="none" w:sz="0" w:space="0" w:color="auto" w:frame="1"/>
                <w:vertAlign w:val="superscript"/>
              </w:rPr>
              <w:t>th</w:t>
            </w:r>
            <w:r w:rsidRPr="009A14CB">
              <w:rPr>
                <w:rFonts w:asciiTheme="majorHAnsi" w:hAnsiTheme="majorHAnsi" w:cstheme="majorHAnsi"/>
                <w:color w:val="000000"/>
              </w:rPr>
              <w:t> grade students who had just come from Congo. They received little education in their native language; in fact, they probably have the content knowledge of a 1</w:t>
            </w:r>
            <w:r w:rsidRPr="009A14CB">
              <w:rPr>
                <w:rFonts w:asciiTheme="majorHAnsi" w:hAnsiTheme="majorHAnsi" w:cstheme="majorHAnsi"/>
                <w:color w:val="000000"/>
                <w:bdr w:val="none" w:sz="0" w:space="0" w:color="auto" w:frame="1"/>
                <w:vertAlign w:val="superscript"/>
              </w:rPr>
              <w:t>st</w:t>
            </w:r>
            <w:r w:rsidRPr="009A14CB">
              <w:rPr>
                <w:rFonts w:asciiTheme="majorHAnsi" w:hAnsiTheme="majorHAnsi" w:cstheme="majorHAnsi"/>
                <w:color w:val="000000"/>
              </w:rPr>
              <w:t> grade student from the United States. They can speak enough English to request lunch, ask to use the restroom and exchange greetings. You are expected to teach them both </w:t>
            </w:r>
            <w:r w:rsidRPr="009A14CB">
              <w:rPr>
                <w:rFonts w:asciiTheme="majorHAnsi" w:hAnsiTheme="majorHAnsi" w:cstheme="majorHAnsi"/>
                <w:color w:val="000000"/>
                <w:u w:val="single"/>
              </w:rPr>
              <w:t>language</w:t>
            </w:r>
            <w:r w:rsidRPr="009A14CB">
              <w:rPr>
                <w:rFonts w:asciiTheme="majorHAnsi" w:hAnsiTheme="majorHAnsi" w:cstheme="majorHAnsi"/>
                <w:color w:val="000000"/>
              </w:rPr>
              <w:t> and </w:t>
            </w:r>
            <w:r w:rsidRPr="009A14CB">
              <w:rPr>
                <w:rFonts w:asciiTheme="majorHAnsi" w:hAnsiTheme="majorHAnsi" w:cstheme="majorHAnsi"/>
                <w:color w:val="000000"/>
                <w:u w:val="single"/>
              </w:rPr>
              <w:t>content</w:t>
            </w:r>
            <w:r w:rsidRPr="009A14CB">
              <w:rPr>
                <w:rFonts w:asciiTheme="majorHAnsi" w:hAnsiTheme="majorHAnsi" w:cstheme="majorHAnsi"/>
                <w:color w:val="000000"/>
              </w:rPr>
              <w:t>. If you had to select three methods to teach them, what would they be? Why?</w:t>
            </w:r>
            <w:r w:rsidR="00ED288C" w:rsidRPr="009A14CB">
              <w:rPr>
                <w:rFonts w:asciiTheme="majorHAnsi" w:hAnsiTheme="majorHAnsi" w:cstheme="majorHAnsi"/>
                <w:color w:val="000000"/>
              </w:rPr>
              <w:t xml:space="preserve"> This question is restricted to P-12 teachers.</w:t>
            </w:r>
          </w:p>
          <w:p w14:paraId="73617AB7" w14:textId="77777777" w:rsidR="00ED288C" w:rsidRDefault="00ED288C" w:rsidP="00ED288C">
            <w:pPr>
              <w:spacing w:line="235" w:lineRule="atLeast"/>
              <w:rPr>
                <w:rFonts w:cs="Calibri"/>
                <w:color w:val="000000"/>
              </w:rPr>
            </w:pPr>
          </w:p>
          <w:p w14:paraId="07242616" w14:textId="0B934741" w:rsidR="00B67DC7" w:rsidRPr="009A14CB" w:rsidRDefault="00ED288C" w:rsidP="00ED288C">
            <w:pPr>
              <w:spacing w:line="235" w:lineRule="atLeast"/>
              <w:rPr>
                <w:rFonts w:ascii="Calibri Light" w:hAnsi="Calibri Light" w:cs="Calibri Light"/>
                <w:color w:val="000000"/>
                <w:bdr w:val="none" w:sz="0" w:space="0" w:color="auto" w:frame="1"/>
                <w:shd w:val="clear" w:color="auto" w:fill="FFFF00"/>
              </w:rPr>
            </w:pPr>
            <w:r w:rsidRPr="009A14CB">
              <w:rPr>
                <w:rFonts w:ascii="Calibri Light" w:hAnsi="Calibri Light" w:cs="Calibri Light"/>
                <w:color w:val="000000"/>
              </w:rPr>
              <w:t xml:space="preserve">OR </w:t>
            </w:r>
            <w:r w:rsidR="00B67DC7" w:rsidRPr="009A14CB">
              <w:rPr>
                <w:rFonts w:ascii="Calibri Light" w:hAnsi="Calibri Light" w:cs="Calibri Light"/>
                <w:color w:val="000000"/>
              </w:rPr>
              <w:t> </w:t>
            </w:r>
          </w:p>
          <w:p w14:paraId="2C4046BD" w14:textId="38500D06" w:rsidR="00ED288C" w:rsidRPr="009A14CB" w:rsidRDefault="00ED288C" w:rsidP="00ED288C">
            <w:pPr>
              <w:spacing w:line="235" w:lineRule="atLeast"/>
              <w:rPr>
                <w:rFonts w:ascii="Calibri Light" w:hAnsi="Calibri Light" w:cs="Calibri Light"/>
                <w:color w:val="000000"/>
              </w:rPr>
            </w:pPr>
          </w:p>
          <w:p w14:paraId="1E61F1CB" w14:textId="1A82CB96" w:rsidR="00D86425" w:rsidRPr="009A14CB" w:rsidRDefault="00B67DC7" w:rsidP="00ED288C">
            <w:pPr>
              <w:spacing w:line="235" w:lineRule="atLeast"/>
              <w:rPr>
                <w:rFonts w:ascii="Calibri Light" w:hAnsi="Calibri Light" w:cs="Calibri Light"/>
                <w:color w:val="000000"/>
                <w:bdr w:val="none" w:sz="0" w:space="0" w:color="auto" w:frame="1"/>
                <w:shd w:val="clear" w:color="auto" w:fill="FFFF00"/>
              </w:rPr>
            </w:pPr>
            <w:r w:rsidRPr="009A14CB">
              <w:rPr>
                <w:rFonts w:ascii="Calibri Light" w:hAnsi="Calibri Light" w:cs="Calibri Light"/>
                <w:color w:val="000000"/>
              </w:rPr>
              <w:t>Let's say you also were teaching a group of Congolese adult refugees at night. They know no English and have little literacy in their own language. Their goal is to learn English to work and survive in American society.  If you had to select three methods to teach them, what would they be? Why?</w:t>
            </w:r>
            <w:r w:rsidR="00ED288C" w:rsidRPr="009A14CB">
              <w:rPr>
                <w:rFonts w:ascii="Calibri Light" w:hAnsi="Calibri Light" w:cs="Calibri Light"/>
                <w:color w:val="000000"/>
              </w:rPr>
              <w:t xml:space="preserve"> This question is restricted to non P-12 teachers. </w:t>
            </w:r>
            <w:r w:rsidRPr="009A14CB">
              <w:rPr>
                <w:rFonts w:ascii="Calibri Light" w:hAnsi="Calibri Light" w:cs="Calibri Light"/>
                <w:color w:val="000000"/>
              </w:rPr>
              <w:t xml:space="preserve">  </w:t>
            </w:r>
          </w:p>
          <w:p w14:paraId="1286F78B" w14:textId="77777777" w:rsidR="00674E22" w:rsidRDefault="00674E22" w:rsidP="004A360E">
            <w:pPr>
              <w:rPr>
                <w:rFonts w:ascii="Times New Roman" w:hAnsi="Times New Roman"/>
                <w:color w:val="767171" w:themeColor="background2" w:themeShade="80"/>
                <w:sz w:val="20"/>
              </w:rPr>
            </w:pP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32757CA" w14:textId="3546C700" w:rsidR="00B67DC7" w:rsidRPr="00A97885" w:rsidRDefault="00B67DC7" w:rsidP="00B67DC7">
            <w:pPr>
              <w:shd w:val="clear" w:color="auto" w:fill="F4F4F4"/>
              <w:spacing w:line="235" w:lineRule="atLeast"/>
              <w:rPr>
                <w:rFonts w:cs="Calibri"/>
                <w:color w:val="000000" w:themeColor="text1"/>
              </w:rPr>
            </w:pPr>
            <w:r w:rsidRPr="00ED288C">
              <w:rPr>
                <w:rFonts w:cs="Calibri"/>
                <w:color w:val="000000"/>
              </w:rPr>
              <w:t xml:space="preserve">The assessment coordinator created a rubric for TESOL faculty to independently review </w:t>
            </w:r>
            <w:r w:rsidR="009A14CB">
              <w:rPr>
                <w:rFonts w:cs="Calibri"/>
                <w:color w:val="000000"/>
              </w:rPr>
              <w:t xml:space="preserve">the </w:t>
            </w:r>
            <w:r w:rsidRPr="00ED288C">
              <w:rPr>
                <w:rFonts w:cs="Calibri"/>
                <w:color w:val="000000"/>
              </w:rPr>
              <w:t>candidate</w:t>
            </w:r>
            <w:r w:rsidR="009A14CB">
              <w:rPr>
                <w:rFonts w:cs="Calibri"/>
                <w:color w:val="000000"/>
              </w:rPr>
              <w:t xml:space="preserve">s’ </w:t>
            </w:r>
            <w:r w:rsidRPr="00ED288C">
              <w:rPr>
                <w:rFonts w:cs="Calibri"/>
                <w:color w:val="000000"/>
              </w:rPr>
              <w:t xml:space="preserve">performance.  The rubric included a rating of 3 (highly skilled), 2 (proficient), 1 (still developing). </w:t>
            </w:r>
            <w:r w:rsidRPr="00ED288C">
              <w:rPr>
                <w:rFonts w:cs="Calibri"/>
                <w:color w:val="000000"/>
                <w:u w:val="single"/>
              </w:rPr>
              <w:t xml:space="preserve">The rubric is </w:t>
            </w:r>
            <w:r w:rsidR="00ED288C">
              <w:rPr>
                <w:rFonts w:cs="Calibri"/>
                <w:color w:val="000000"/>
                <w:u w:val="single"/>
              </w:rPr>
              <w:t>copied</w:t>
            </w:r>
            <w:r w:rsidRPr="00ED288C">
              <w:rPr>
                <w:rFonts w:cs="Calibri"/>
                <w:color w:val="000000"/>
                <w:u w:val="single"/>
              </w:rPr>
              <w:t xml:space="preserve"> at the end of this </w:t>
            </w:r>
            <w:proofErr w:type="gramStart"/>
            <w:r w:rsidRPr="00ED288C">
              <w:rPr>
                <w:rFonts w:cs="Calibri"/>
                <w:color w:val="000000"/>
                <w:u w:val="single"/>
              </w:rPr>
              <w:t xml:space="preserve">document </w:t>
            </w:r>
            <w:r w:rsidRPr="00D51E71">
              <w:rPr>
                <w:rFonts w:cs="Calibri"/>
                <w:color w:val="000000"/>
              </w:rPr>
              <w:t>.</w:t>
            </w:r>
            <w:proofErr w:type="gramEnd"/>
            <w:r w:rsidRPr="00D51E71">
              <w:rPr>
                <w:rFonts w:cs="Calibri"/>
                <w:color w:val="000000"/>
              </w:rPr>
              <w:t xml:space="preserve"> </w:t>
            </w:r>
            <w:r w:rsidR="009A14CB" w:rsidRPr="00A97885">
              <w:rPr>
                <w:rFonts w:cs="Calibri"/>
                <w:color w:val="000000" w:themeColor="text1"/>
              </w:rPr>
              <w:t>A score</w:t>
            </w:r>
            <w:r w:rsidR="00D51E71" w:rsidRPr="00A97885">
              <w:rPr>
                <w:rFonts w:cs="Calibri"/>
                <w:color w:val="000000" w:themeColor="text1"/>
              </w:rPr>
              <w:t xml:space="preserve"> of 2 or higher is deemed to be successful.</w:t>
            </w:r>
          </w:p>
          <w:p w14:paraId="0296C647" w14:textId="00D25303" w:rsidR="00406B46" w:rsidRPr="00ED288C" w:rsidRDefault="00406B46" w:rsidP="00B67DC7">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34357E63" w:rsidR="00C4455B" w:rsidRPr="00406B46" w:rsidRDefault="00D51E71" w:rsidP="00A8015B">
            <w:pPr>
              <w:widowControl w:val="0"/>
              <w:autoSpaceDE w:val="0"/>
              <w:autoSpaceDN w:val="0"/>
              <w:adjustRightInd w:val="0"/>
              <w:rPr>
                <w:rFonts w:ascii="Times New Roman" w:hAnsi="Times New Roman"/>
                <w:sz w:val="20"/>
                <w:szCs w:val="20"/>
              </w:rPr>
            </w:pPr>
            <w:r>
              <w:rPr>
                <w:rFonts w:ascii="Times New Roman" w:hAnsi="Times New Roman"/>
                <w:bCs/>
                <w:sz w:val="20"/>
                <w:szCs w:val="20"/>
              </w:rPr>
              <w:t>75%</w:t>
            </w:r>
            <w:r w:rsidR="00B67DC7">
              <w:rPr>
                <w:rFonts w:ascii="Times New Roman" w:hAnsi="Times New Roman"/>
                <w:bCs/>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D096DF6" w:rsidR="00C4455B" w:rsidRPr="0075740F" w:rsidRDefault="008B65DC" w:rsidP="00406B46">
            <w:pPr>
              <w:widowControl w:val="0"/>
              <w:autoSpaceDE w:val="0"/>
              <w:autoSpaceDN w:val="0"/>
              <w:adjustRightInd w:val="0"/>
              <w:rPr>
                <w:rFonts w:ascii="Times New Roman" w:hAnsi="Times New Roman"/>
                <w:color w:val="767171" w:themeColor="background2" w:themeShade="80"/>
                <w:sz w:val="20"/>
                <w:szCs w:val="20"/>
              </w:rPr>
            </w:pPr>
            <w:r w:rsidRPr="00ED288C">
              <w:rPr>
                <w:rFonts w:ascii="Times New Roman" w:hAnsi="Times New Roman"/>
                <w:color w:val="000000" w:themeColor="text1"/>
                <w:sz w:val="20"/>
                <w:szCs w:val="20"/>
              </w:rPr>
              <w:t>100% of the students received an average score of 2 or higher on th</w:t>
            </w:r>
            <w:r w:rsidR="00486A75">
              <w:rPr>
                <w:rFonts w:ascii="Times New Roman" w:hAnsi="Times New Roman"/>
                <w:color w:val="000000" w:themeColor="text1"/>
                <w:sz w:val="20"/>
                <w:szCs w:val="20"/>
              </w:rPr>
              <w:t>e</w:t>
            </w:r>
            <w:r w:rsidRPr="00ED288C">
              <w:rPr>
                <w:rFonts w:ascii="Times New Roman" w:hAnsi="Times New Roman"/>
                <w:color w:val="000000" w:themeColor="text1"/>
                <w:sz w:val="20"/>
                <w:szCs w:val="20"/>
              </w:rPr>
              <w:t xml:space="preserve"> rubric.  Two students, or 25%, had an average score of 3 on the rubric. </w:t>
            </w:r>
          </w:p>
        </w:tc>
      </w:tr>
      <w:tr w:rsidR="00C4455B" w:rsidRPr="00964DD0" w14:paraId="14853067" w14:textId="77777777" w:rsidTr="00486A75">
        <w:trPr>
          <w:trHeight w:val="68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CB9A598" w14:textId="41520191" w:rsidR="008B65DC" w:rsidRPr="00FF3DCE" w:rsidRDefault="008B65DC" w:rsidP="008B65DC">
            <w:pPr>
              <w:jc w:val="both"/>
              <w:rPr>
                <w:rFonts w:ascii="Times New Roman" w:hAnsi="Times New Roman"/>
                <w:bCs/>
                <w:sz w:val="20"/>
                <w:szCs w:val="20"/>
              </w:rPr>
            </w:pPr>
            <w:r>
              <w:rPr>
                <w:rFonts w:ascii="Times New Roman" w:hAnsi="Times New Roman"/>
                <w:bCs/>
                <w:sz w:val="20"/>
                <w:szCs w:val="20"/>
              </w:rPr>
              <w:t xml:space="preserve">TESOL </w:t>
            </w:r>
            <w:r w:rsidRPr="00A97885">
              <w:rPr>
                <w:rFonts w:ascii="Times New Roman" w:hAnsi="Times New Roman"/>
                <w:bCs/>
                <w:color w:val="000000" w:themeColor="text1"/>
                <w:sz w:val="20"/>
                <w:szCs w:val="20"/>
              </w:rPr>
              <w:t xml:space="preserve">faculty </w:t>
            </w:r>
            <w:r w:rsidR="00A97885" w:rsidRPr="00A97885">
              <w:rPr>
                <w:rFonts w:ascii="Times New Roman" w:hAnsi="Times New Roman"/>
                <w:bCs/>
                <w:color w:val="000000" w:themeColor="text1"/>
                <w:sz w:val="20"/>
                <w:szCs w:val="20"/>
              </w:rPr>
              <w:t>(n=3</w:t>
            </w:r>
            <w:r w:rsidR="00D51E71" w:rsidRPr="00A97885">
              <w:rPr>
                <w:rFonts w:ascii="Times New Roman" w:hAnsi="Times New Roman"/>
                <w:bCs/>
                <w:color w:val="000000" w:themeColor="text1"/>
                <w:sz w:val="20"/>
                <w:szCs w:val="20"/>
              </w:rPr>
              <w:t xml:space="preserve">) </w:t>
            </w:r>
            <w:r w:rsidRPr="00A97885">
              <w:rPr>
                <w:rFonts w:ascii="Times New Roman" w:hAnsi="Times New Roman"/>
                <w:bCs/>
                <w:color w:val="000000" w:themeColor="text1"/>
                <w:sz w:val="20"/>
                <w:szCs w:val="20"/>
              </w:rPr>
              <w:t xml:space="preserve">reviewed </w:t>
            </w:r>
            <w:r>
              <w:rPr>
                <w:rFonts w:ascii="Times New Roman" w:hAnsi="Times New Roman"/>
                <w:bCs/>
                <w:sz w:val="20"/>
                <w:szCs w:val="20"/>
              </w:rPr>
              <w:t xml:space="preserve">blinded copies of question 2 from the midterm exam and independently rated each </w:t>
            </w:r>
            <w:r w:rsidRPr="00A97885">
              <w:rPr>
                <w:rFonts w:ascii="Times New Roman" w:hAnsi="Times New Roman"/>
                <w:bCs/>
                <w:color w:val="000000" w:themeColor="text1"/>
                <w:sz w:val="20"/>
                <w:szCs w:val="20"/>
              </w:rPr>
              <w:t xml:space="preserve">student </w:t>
            </w:r>
            <w:r w:rsidR="00D51E71" w:rsidRPr="00A97885">
              <w:rPr>
                <w:rFonts w:ascii="Times New Roman" w:hAnsi="Times New Roman"/>
                <w:bCs/>
                <w:color w:val="000000" w:themeColor="text1"/>
                <w:sz w:val="20"/>
                <w:szCs w:val="20"/>
              </w:rPr>
              <w:t>in the class (</w:t>
            </w:r>
            <w:r w:rsidR="00A97885">
              <w:rPr>
                <w:rFonts w:ascii="Times New Roman" w:hAnsi="Times New Roman"/>
                <w:bCs/>
                <w:color w:val="000000" w:themeColor="text1"/>
                <w:sz w:val="20"/>
                <w:szCs w:val="20"/>
              </w:rPr>
              <w:t>n</w:t>
            </w:r>
            <w:r w:rsidR="00D51E71" w:rsidRPr="00A97885">
              <w:rPr>
                <w:rFonts w:ascii="Times New Roman" w:hAnsi="Times New Roman"/>
                <w:bCs/>
                <w:color w:val="000000" w:themeColor="text1"/>
                <w:sz w:val="20"/>
                <w:szCs w:val="20"/>
              </w:rPr>
              <w:t xml:space="preserve">=8) </w:t>
            </w:r>
            <w:r>
              <w:rPr>
                <w:rFonts w:ascii="Times New Roman" w:hAnsi="Times New Roman"/>
                <w:bCs/>
                <w:sz w:val="20"/>
                <w:szCs w:val="20"/>
              </w:rPr>
              <w:t>using the a</w:t>
            </w:r>
            <w:r w:rsidR="00D51E71">
              <w:rPr>
                <w:rFonts w:ascii="Times New Roman" w:hAnsi="Times New Roman"/>
                <w:bCs/>
                <w:sz w:val="20"/>
                <w:szCs w:val="20"/>
              </w:rPr>
              <w:t>ttached</w:t>
            </w:r>
            <w:r>
              <w:rPr>
                <w:rFonts w:ascii="Times New Roman" w:hAnsi="Times New Roman"/>
                <w:bCs/>
                <w:sz w:val="20"/>
                <w:szCs w:val="20"/>
              </w:rPr>
              <w:t xml:space="preserve"> rubric.  The average rubric score</w:t>
            </w:r>
            <w:r w:rsidR="00ED288C">
              <w:rPr>
                <w:rFonts w:ascii="Times New Roman" w:hAnsi="Times New Roman"/>
                <w:bCs/>
                <w:sz w:val="20"/>
                <w:szCs w:val="20"/>
              </w:rPr>
              <w:t xml:space="preserve"> for each student</w:t>
            </w:r>
            <w:r>
              <w:rPr>
                <w:rFonts w:ascii="Times New Roman" w:hAnsi="Times New Roman"/>
                <w:bCs/>
                <w:sz w:val="20"/>
                <w:szCs w:val="20"/>
              </w:rPr>
              <w:t xml:space="preserve"> was calculated. </w:t>
            </w:r>
          </w:p>
          <w:p w14:paraId="06BCD006" w14:textId="40974AA5" w:rsidR="00406B46" w:rsidRPr="00406B46" w:rsidRDefault="00406B46" w:rsidP="008B65DC">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696995D" w:rsidR="004D7D95" w:rsidRDefault="008B65DC" w:rsidP="004D7D95">
            <w:pPr>
              <w:widowControl w:val="0"/>
              <w:autoSpaceDE w:val="0"/>
              <w:autoSpaceDN w:val="0"/>
              <w:adjustRightInd w:val="0"/>
              <w:rPr>
                <w:rFonts w:ascii="Times New Roman" w:hAnsi="Times New Roman"/>
                <w:b/>
                <w:bCs/>
                <w:sz w:val="20"/>
                <w:szCs w:val="20"/>
              </w:rPr>
            </w:pPr>
            <w:proofErr w:type="spellStart"/>
            <w:r>
              <w:rPr>
                <w:rFonts w:ascii="Times New Roman" w:hAnsi="Times New Roman"/>
                <w:bCs/>
                <w:color w:val="7F7F7F" w:themeColor="text1" w:themeTint="80"/>
                <w:sz w:val="20"/>
                <w:szCs w:val="20"/>
              </w:rPr>
              <w:t>na</w:t>
            </w:r>
            <w:proofErr w:type="spellEnd"/>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7B6845A7" w:rsidR="00EB65C8" w:rsidRPr="0054609C" w:rsidRDefault="008B65DC" w:rsidP="008B65DC">
            <w:pPr>
              <w:widowControl w:val="0"/>
              <w:autoSpaceDE w:val="0"/>
              <w:autoSpaceDN w:val="0"/>
              <w:adjustRightInd w:val="0"/>
              <w:rPr>
                <w:rFonts w:ascii="Times New Roman" w:hAnsi="Times New Roman"/>
                <w:b/>
                <w:sz w:val="20"/>
                <w:szCs w:val="20"/>
              </w:rPr>
            </w:pPr>
            <w:proofErr w:type="spellStart"/>
            <w:r>
              <w:rPr>
                <w:rFonts w:ascii="Times New Roman" w:hAnsi="Times New Roman"/>
                <w:bCs/>
                <w:color w:val="7F7F7F" w:themeColor="text1" w:themeTint="80"/>
                <w:sz w:val="20"/>
                <w:szCs w:val="20"/>
              </w:rPr>
              <w:t>na</w:t>
            </w:r>
            <w:proofErr w:type="spellEnd"/>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sidRPr="008B65DC">
              <w:rPr>
                <w:rFonts w:ascii="Times New Roman" w:hAnsi="Times New Roman"/>
                <w:b/>
                <w:sz w:val="22"/>
                <w:szCs w:val="22"/>
                <w:highlight w:val="yellow"/>
              </w:rPr>
              <w:fldChar w:fldCharType="begin">
                <w:ffData>
                  <w:name w:val="Check7"/>
                  <w:enabled/>
                  <w:calcOnExit w:val="0"/>
                  <w:checkBox>
                    <w:sizeAuto/>
                    <w:default w:val="0"/>
                  </w:checkBox>
                </w:ffData>
              </w:fldChar>
            </w:r>
            <w:bookmarkStart w:id="6" w:name="Check7"/>
            <w:r w:rsidRPr="008B65DC">
              <w:rPr>
                <w:rFonts w:ascii="Times New Roman" w:hAnsi="Times New Roman"/>
                <w:b/>
                <w:sz w:val="22"/>
                <w:szCs w:val="22"/>
                <w:highlight w:val="yellow"/>
              </w:rPr>
              <w:instrText xml:space="preserve"> FORMCHECKBOX </w:instrText>
            </w:r>
            <w:r w:rsidR="00E0034F">
              <w:rPr>
                <w:rFonts w:ascii="Times New Roman" w:hAnsi="Times New Roman"/>
                <w:b/>
                <w:sz w:val="22"/>
                <w:szCs w:val="22"/>
                <w:highlight w:val="yellow"/>
              </w:rPr>
            </w:r>
            <w:r w:rsidR="00E0034F">
              <w:rPr>
                <w:rFonts w:ascii="Times New Roman" w:hAnsi="Times New Roman"/>
                <w:b/>
                <w:sz w:val="22"/>
                <w:szCs w:val="22"/>
                <w:highlight w:val="yellow"/>
              </w:rPr>
              <w:fldChar w:fldCharType="separate"/>
            </w:r>
            <w:r w:rsidRPr="008B65DC">
              <w:rPr>
                <w:rFonts w:ascii="Times New Roman" w:hAnsi="Times New Roman"/>
                <w:b/>
                <w:sz w:val="22"/>
                <w:szCs w:val="22"/>
                <w:highlight w:val="yellow"/>
              </w:rPr>
              <w:fldChar w:fldCharType="end"/>
            </w:r>
            <w:bookmarkEnd w:id="6"/>
            <w:r w:rsidRPr="008B65DC">
              <w:rPr>
                <w:rFonts w:ascii="Times New Roman" w:hAnsi="Times New Roman"/>
                <w:b/>
                <w:sz w:val="22"/>
                <w:szCs w:val="22"/>
                <w:highlight w:val="yellow"/>
              </w:rPr>
              <w:t xml:space="preserve"> </w:t>
            </w:r>
            <w:r w:rsidR="00402256" w:rsidRPr="008B65DC">
              <w:rPr>
                <w:rFonts w:ascii="Times New Roman" w:hAnsi="Times New Roman"/>
                <w:b/>
                <w:sz w:val="22"/>
                <w:szCs w:val="22"/>
                <w:highlight w:val="yellow"/>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E0034F">
              <w:rPr>
                <w:rFonts w:ascii="Times New Roman" w:hAnsi="Times New Roman"/>
                <w:b/>
                <w:sz w:val="22"/>
                <w:szCs w:val="22"/>
              </w:rPr>
            </w:r>
            <w:r w:rsidR="00E0034F">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5277953A" w14:textId="77777777" w:rsidR="00ED288C" w:rsidRDefault="008B65DC" w:rsidP="00402256">
            <w:pPr>
              <w:jc w:val="both"/>
              <w:rPr>
                <w:rFonts w:ascii="Times New Roman" w:hAnsi="Times New Roman"/>
                <w:bCs/>
                <w:sz w:val="20"/>
                <w:szCs w:val="20"/>
              </w:rPr>
            </w:pPr>
            <w:r>
              <w:rPr>
                <w:rFonts w:ascii="Times New Roman" w:hAnsi="Times New Roman"/>
                <w:bCs/>
                <w:sz w:val="20"/>
                <w:szCs w:val="20"/>
              </w:rPr>
              <w:t xml:space="preserve">We had no graduate students in ENG 471G, our capstone course, for the 2020-2021 school year, so the faculty opted to select students earlier in their program of study.  An important competency for student success in ENG 471G is selecting appropriate evidence-based teaching methods to guide instruction during the 30 hours of practical experience. Therefore, the faculty turned to ENG 565 where students first encounter this content.  </w:t>
            </w:r>
          </w:p>
          <w:p w14:paraId="5AAB6110" w14:textId="77777777" w:rsidR="00ED288C" w:rsidRDefault="00ED288C" w:rsidP="00402256">
            <w:pPr>
              <w:jc w:val="both"/>
              <w:rPr>
                <w:rFonts w:ascii="Times New Roman" w:hAnsi="Times New Roman"/>
                <w:bCs/>
                <w:sz w:val="20"/>
                <w:szCs w:val="20"/>
              </w:rPr>
            </w:pPr>
          </w:p>
          <w:p w14:paraId="2A28945B" w14:textId="50A4BB1E" w:rsidR="008B65DC" w:rsidRDefault="008B65DC" w:rsidP="00402256">
            <w:pPr>
              <w:jc w:val="both"/>
              <w:rPr>
                <w:rFonts w:ascii="Times New Roman" w:hAnsi="Times New Roman"/>
                <w:bCs/>
                <w:color w:val="767171" w:themeColor="background2" w:themeShade="80"/>
                <w:sz w:val="20"/>
              </w:rPr>
            </w:pPr>
            <w:r>
              <w:rPr>
                <w:rFonts w:ascii="Times New Roman" w:hAnsi="Times New Roman"/>
                <w:bCs/>
                <w:sz w:val="20"/>
                <w:szCs w:val="20"/>
              </w:rPr>
              <w:t xml:space="preserve">In </w:t>
            </w:r>
            <w:proofErr w:type="spellStart"/>
            <w:r>
              <w:rPr>
                <w:rFonts w:ascii="Times New Roman" w:hAnsi="Times New Roman"/>
                <w:bCs/>
                <w:sz w:val="20"/>
                <w:szCs w:val="20"/>
              </w:rPr>
              <w:t>additition</w:t>
            </w:r>
            <w:proofErr w:type="spellEnd"/>
            <w:r>
              <w:rPr>
                <w:rFonts w:ascii="Times New Roman" w:hAnsi="Times New Roman"/>
                <w:bCs/>
                <w:sz w:val="20"/>
                <w:szCs w:val="20"/>
              </w:rPr>
              <w:t xml:space="preserve">, our students met or exceeded our ASL learning goals for 2019-2020 that focused on knowledge and application of research in SLA. This was a good opportunity to identify a new area of focus to assess student learning. As a result of this assessment, we concluded that students have sufficiently learned evidence-based methods of language teaching from ENG 565 </w:t>
            </w:r>
            <w:proofErr w:type="gramStart"/>
            <w:r>
              <w:rPr>
                <w:rFonts w:ascii="Times New Roman" w:hAnsi="Times New Roman"/>
                <w:bCs/>
                <w:sz w:val="20"/>
                <w:szCs w:val="20"/>
              </w:rPr>
              <w:t>in order to</w:t>
            </w:r>
            <w:proofErr w:type="gramEnd"/>
            <w:r>
              <w:rPr>
                <w:rFonts w:ascii="Times New Roman" w:hAnsi="Times New Roman"/>
                <w:bCs/>
                <w:sz w:val="20"/>
                <w:szCs w:val="20"/>
              </w:rPr>
              <w:t xml:space="preserve"> correctly identify a variety of methods and to explain these methods</w:t>
            </w:r>
            <w:r w:rsidR="00215BA4">
              <w:rPr>
                <w:rFonts w:ascii="Times New Roman" w:hAnsi="Times New Roman"/>
                <w:bCs/>
                <w:sz w:val="20"/>
                <w:szCs w:val="20"/>
              </w:rPr>
              <w:t xml:space="preserve">. We concluded that students are less skilled at clearly articulating why a particular blend of methods is appropriate for a teaching scenario. Students have more practice and exposure to this in ENG 471G. </w:t>
            </w:r>
          </w:p>
          <w:p w14:paraId="5D7907AC" w14:textId="77777777" w:rsidR="008B65DC" w:rsidRDefault="008B65DC" w:rsidP="00402256">
            <w:pPr>
              <w:jc w:val="both"/>
              <w:rPr>
                <w:rFonts w:ascii="Times New Roman" w:hAnsi="Times New Roman"/>
                <w:bCs/>
                <w:color w:val="767171" w:themeColor="background2" w:themeShade="80"/>
                <w:sz w:val="20"/>
              </w:rPr>
            </w:pPr>
          </w:p>
          <w:p w14:paraId="2B3811B9" w14:textId="4CD69CA5" w:rsidR="00402256" w:rsidRPr="0054609C" w:rsidRDefault="00402256" w:rsidP="00402256">
            <w:pPr>
              <w:jc w:val="both"/>
              <w:rPr>
                <w:rFonts w:ascii="Times New Roman" w:hAnsi="Times New Roman"/>
                <w:b/>
                <w:sz w:val="20"/>
                <w:szCs w:val="20"/>
              </w:rPr>
            </w:pP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01B976F8" w14:textId="4315AD1C" w:rsidR="00215BA4" w:rsidRDefault="00215BA4" w:rsidP="00215BA4">
            <w:pPr>
              <w:jc w:val="both"/>
              <w:rPr>
                <w:rFonts w:ascii="Times New Roman" w:hAnsi="Times New Roman"/>
                <w:bCs/>
                <w:sz w:val="20"/>
                <w:szCs w:val="20"/>
              </w:rPr>
            </w:pPr>
          </w:p>
          <w:p w14:paraId="319EDAAD" w14:textId="2ECCDD6F" w:rsidR="00215BA4" w:rsidRDefault="00215BA4" w:rsidP="00215BA4">
            <w:pPr>
              <w:jc w:val="both"/>
              <w:rPr>
                <w:rFonts w:ascii="Times New Roman" w:hAnsi="Times New Roman"/>
                <w:bCs/>
                <w:sz w:val="20"/>
                <w:szCs w:val="20"/>
              </w:rPr>
            </w:pPr>
            <w:r>
              <w:rPr>
                <w:rFonts w:ascii="Times New Roman" w:hAnsi="Times New Roman"/>
                <w:bCs/>
                <w:sz w:val="20"/>
                <w:szCs w:val="20"/>
              </w:rPr>
              <w:t>To follow up, we will measure the same learning outcome, but we will apply it to a new learning</w:t>
            </w:r>
            <w:r w:rsidR="00ED288C">
              <w:rPr>
                <w:rFonts w:ascii="Times New Roman" w:hAnsi="Times New Roman"/>
                <w:bCs/>
                <w:sz w:val="20"/>
                <w:szCs w:val="20"/>
              </w:rPr>
              <w:t xml:space="preserve"> artifact</w:t>
            </w:r>
            <w:r>
              <w:rPr>
                <w:rFonts w:ascii="Times New Roman" w:hAnsi="Times New Roman"/>
                <w:bCs/>
                <w:sz w:val="20"/>
                <w:szCs w:val="20"/>
              </w:rPr>
              <w:t xml:space="preserve"> in ENG 471G: the critical reflection. In this reflection, students must </w:t>
            </w:r>
            <w:proofErr w:type="spellStart"/>
            <w:r>
              <w:rPr>
                <w:rFonts w:ascii="Times New Roman" w:hAnsi="Times New Roman"/>
                <w:bCs/>
                <w:sz w:val="20"/>
                <w:szCs w:val="20"/>
              </w:rPr>
              <w:t>articlulate</w:t>
            </w:r>
            <w:proofErr w:type="spellEnd"/>
            <w:r>
              <w:rPr>
                <w:rFonts w:ascii="Times New Roman" w:hAnsi="Times New Roman"/>
                <w:bCs/>
                <w:sz w:val="20"/>
                <w:szCs w:val="20"/>
              </w:rPr>
              <w:t xml:space="preserve"> not only appropriate evidence-based teaching methods but also articulate why their selected methods were appropriate for the instructional setting, which is the main difference between a score of a 2 or a 3 on this year’s rubric. </w:t>
            </w:r>
          </w:p>
          <w:p w14:paraId="46829959" w14:textId="1B41D429" w:rsidR="00215BA4" w:rsidRDefault="00215BA4" w:rsidP="00215BA4">
            <w:pPr>
              <w:jc w:val="both"/>
              <w:rPr>
                <w:rFonts w:ascii="Times New Roman" w:hAnsi="Times New Roman"/>
                <w:bCs/>
                <w:sz w:val="20"/>
                <w:szCs w:val="20"/>
              </w:rPr>
            </w:pPr>
          </w:p>
          <w:p w14:paraId="4774E0CA" w14:textId="7BB7D1F0" w:rsidR="00215BA4" w:rsidRDefault="00215BA4" w:rsidP="00215BA4">
            <w:pPr>
              <w:jc w:val="both"/>
              <w:rPr>
                <w:rFonts w:ascii="Times New Roman" w:hAnsi="Times New Roman"/>
                <w:bCs/>
                <w:sz w:val="20"/>
                <w:szCs w:val="20"/>
              </w:rPr>
            </w:pPr>
            <w:r>
              <w:rPr>
                <w:rFonts w:ascii="Times New Roman" w:hAnsi="Times New Roman"/>
                <w:bCs/>
                <w:sz w:val="20"/>
                <w:szCs w:val="20"/>
              </w:rPr>
              <w:t xml:space="preserve">We see from this assessment cycle that students successfully learn </w:t>
            </w:r>
            <w:proofErr w:type="gramStart"/>
            <w:r>
              <w:rPr>
                <w:rFonts w:ascii="Times New Roman" w:hAnsi="Times New Roman"/>
                <w:bCs/>
                <w:sz w:val="20"/>
                <w:szCs w:val="20"/>
              </w:rPr>
              <w:t xml:space="preserve">this </w:t>
            </w:r>
            <w:r w:rsidR="00ED288C">
              <w:rPr>
                <w:rFonts w:ascii="Times New Roman" w:hAnsi="Times New Roman"/>
                <w:bCs/>
                <w:sz w:val="20"/>
                <w:szCs w:val="20"/>
              </w:rPr>
              <w:t xml:space="preserve"> methods</w:t>
            </w:r>
            <w:proofErr w:type="gramEnd"/>
            <w:r w:rsidR="00ED288C">
              <w:rPr>
                <w:rFonts w:ascii="Times New Roman" w:hAnsi="Times New Roman"/>
                <w:bCs/>
                <w:sz w:val="20"/>
                <w:szCs w:val="20"/>
              </w:rPr>
              <w:t xml:space="preserve"> </w:t>
            </w:r>
            <w:r>
              <w:rPr>
                <w:rFonts w:ascii="Times New Roman" w:hAnsi="Times New Roman"/>
                <w:bCs/>
                <w:sz w:val="20"/>
                <w:szCs w:val="20"/>
              </w:rPr>
              <w:t>content in ENG 565, and ENG 565 is taken one year before students enroll in ENG 471G. This will also help us assess knowledge retention.</w:t>
            </w:r>
          </w:p>
          <w:p w14:paraId="2C7013F5" w14:textId="77777777" w:rsidR="00402256" w:rsidRPr="006E294C" w:rsidRDefault="00402256" w:rsidP="00215BA4">
            <w:pPr>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7EEBB3A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8"/>
            <w:shd w:val="clear" w:color="auto" w:fill="auto"/>
            <w:tcMar>
              <w:top w:w="100" w:type="nil"/>
              <w:right w:w="100" w:type="nil"/>
            </w:tcMar>
          </w:tcPr>
          <w:p w14:paraId="49BE6FA4" w14:textId="3F800AD8" w:rsidR="00215BA4" w:rsidRPr="00ED288C" w:rsidRDefault="00215BA4" w:rsidP="00402256">
            <w:pPr>
              <w:jc w:val="both"/>
              <w:rPr>
                <w:rFonts w:ascii="Times New Roman" w:hAnsi="Times New Roman"/>
                <w:color w:val="000000" w:themeColor="text1"/>
                <w:sz w:val="20"/>
              </w:rPr>
            </w:pPr>
            <w:r w:rsidRPr="00ED288C">
              <w:rPr>
                <w:rFonts w:ascii="Times New Roman" w:hAnsi="Times New Roman"/>
                <w:color w:val="000000" w:themeColor="text1"/>
                <w:sz w:val="20"/>
              </w:rPr>
              <w:t>This outcome will be assessed in spring 2022 in ENG 471G by Dr. Alison Youngblood, the course instructor and assessment coordinator. Dr. Youngblood will collect the appropriate artifact</w:t>
            </w:r>
            <w:r w:rsidR="00ED288C" w:rsidRPr="00ED288C">
              <w:rPr>
                <w:rFonts w:ascii="Times New Roman" w:hAnsi="Times New Roman"/>
                <w:color w:val="000000" w:themeColor="text1"/>
                <w:sz w:val="20"/>
              </w:rPr>
              <w:t xml:space="preserve"> and disseminate to faculty for review. </w:t>
            </w:r>
          </w:p>
          <w:p w14:paraId="2E2CD643" w14:textId="77777777" w:rsidR="00ED288C" w:rsidRPr="00ED288C" w:rsidRDefault="00ED288C" w:rsidP="00402256">
            <w:pPr>
              <w:jc w:val="both"/>
              <w:rPr>
                <w:rFonts w:ascii="Times New Roman" w:hAnsi="Times New Roman"/>
                <w:color w:val="000000" w:themeColor="text1"/>
                <w:sz w:val="20"/>
              </w:rPr>
            </w:pPr>
          </w:p>
          <w:p w14:paraId="170CB71C" w14:textId="7F47F88A" w:rsidR="007531CA" w:rsidRPr="007531CA" w:rsidRDefault="007531CA" w:rsidP="00ED288C">
            <w:pPr>
              <w:jc w:val="both"/>
              <w:rPr>
                <w:rFonts w:ascii="Times New Roman" w:hAnsi="Times New Roman"/>
                <w:color w:val="767171" w:themeColor="background2" w:themeShade="80"/>
                <w:sz w:val="20"/>
              </w:rPr>
            </w:pPr>
          </w:p>
        </w:tc>
      </w:tr>
    </w:tbl>
    <w:p w14:paraId="7E485A64" w14:textId="758EE90C" w:rsidR="00F136C3" w:rsidRDefault="00F136C3"/>
    <w:p w14:paraId="733BFA9B" w14:textId="4D6235C3" w:rsidR="00F136C3" w:rsidRDefault="00F136C3"/>
    <w:p w14:paraId="4BB552C8" w14:textId="77777777" w:rsidR="00060BE5" w:rsidRDefault="00060BE5"/>
    <w:tbl>
      <w:tblPr>
        <w:tblStyle w:val="TableGrid21"/>
        <w:tblpPr w:leftFromText="180" w:rightFromText="180" w:vertAnchor="page" w:horzAnchor="margin" w:tblpY="2261"/>
        <w:tblW w:w="0" w:type="auto"/>
        <w:tblLook w:val="04A0" w:firstRow="1" w:lastRow="0" w:firstColumn="1" w:lastColumn="0" w:noHBand="0" w:noVBand="1"/>
      </w:tblPr>
      <w:tblGrid>
        <w:gridCol w:w="2558"/>
        <w:gridCol w:w="2558"/>
        <w:gridCol w:w="2561"/>
        <w:gridCol w:w="1673"/>
      </w:tblGrid>
      <w:tr w:rsidR="00ED288C" w:rsidRPr="00553184" w14:paraId="687671AE" w14:textId="77777777" w:rsidTr="00ED288C">
        <w:tc>
          <w:tcPr>
            <w:tcW w:w="2558" w:type="dxa"/>
          </w:tcPr>
          <w:p w14:paraId="3345A305" w14:textId="77777777" w:rsidR="00ED288C" w:rsidRPr="00553184" w:rsidRDefault="00ED288C" w:rsidP="00ED288C">
            <w:pPr>
              <w:rPr>
                <w:rFonts w:ascii="Times New Roman" w:hAnsi="Times New Roman"/>
                <w:sz w:val="20"/>
                <w:szCs w:val="20"/>
              </w:rPr>
            </w:pPr>
            <w:r w:rsidRPr="00553184">
              <w:rPr>
                <w:rFonts w:ascii="Times New Roman" w:hAnsi="Times New Roman"/>
                <w:sz w:val="20"/>
                <w:szCs w:val="20"/>
              </w:rPr>
              <w:lastRenderedPageBreak/>
              <w:t xml:space="preserve">(3) Student </w:t>
            </w:r>
            <w:r>
              <w:rPr>
                <w:rFonts w:ascii="Times New Roman" w:hAnsi="Times New Roman"/>
                <w:sz w:val="20"/>
                <w:szCs w:val="20"/>
              </w:rPr>
              <w:t>identifies three</w:t>
            </w:r>
            <w:r w:rsidRPr="00553184">
              <w:rPr>
                <w:rFonts w:ascii="Times New Roman" w:hAnsi="Times New Roman"/>
                <w:sz w:val="20"/>
                <w:szCs w:val="20"/>
              </w:rPr>
              <w:t xml:space="preserve"> </w:t>
            </w:r>
            <w:r>
              <w:rPr>
                <w:rFonts w:ascii="Times New Roman" w:hAnsi="Times New Roman"/>
                <w:sz w:val="20"/>
                <w:szCs w:val="20"/>
              </w:rPr>
              <w:t>appropriate</w:t>
            </w:r>
            <w:r w:rsidRPr="00553184">
              <w:rPr>
                <w:rFonts w:ascii="Times New Roman" w:hAnsi="Times New Roman"/>
                <w:sz w:val="20"/>
                <w:szCs w:val="20"/>
              </w:rPr>
              <w:t xml:space="preserve"> methods</w:t>
            </w:r>
            <w:r>
              <w:rPr>
                <w:rFonts w:ascii="Times New Roman" w:hAnsi="Times New Roman"/>
                <w:sz w:val="20"/>
                <w:szCs w:val="20"/>
              </w:rPr>
              <w:t xml:space="preserve"> </w:t>
            </w:r>
            <w:r w:rsidRPr="00553184">
              <w:rPr>
                <w:rFonts w:ascii="Times New Roman" w:hAnsi="Times New Roman"/>
                <w:sz w:val="20"/>
                <w:szCs w:val="20"/>
              </w:rPr>
              <w:t xml:space="preserve">he/she </w:t>
            </w:r>
            <w:r>
              <w:rPr>
                <w:rFonts w:ascii="Times New Roman" w:hAnsi="Times New Roman"/>
                <w:sz w:val="20"/>
                <w:szCs w:val="20"/>
              </w:rPr>
              <w:t xml:space="preserve">could use that are appropriate for the described scenario.  Student explains why each method is appropriate. Answer </w:t>
            </w:r>
            <w:proofErr w:type="gramStart"/>
            <w:r>
              <w:rPr>
                <w:rFonts w:ascii="Times New Roman" w:hAnsi="Times New Roman"/>
                <w:sz w:val="20"/>
                <w:szCs w:val="20"/>
              </w:rPr>
              <w:t>as a whole demonstrates</w:t>
            </w:r>
            <w:proofErr w:type="gramEnd"/>
            <w:r>
              <w:rPr>
                <w:rFonts w:ascii="Times New Roman" w:hAnsi="Times New Roman"/>
                <w:sz w:val="20"/>
                <w:szCs w:val="20"/>
              </w:rPr>
              <w:t xml:space="preserve"> a complete and nuanced understanding of TESOL methods.</w:t>
            </w:r>
          </w:p>
        </w:tc>
        <w:tc>
          <w:tcPr>
            <w:tcW w:w="2558" w:type="dxa"/>
          </w:tcPr>
          <w:p w14:paraId="118BC5DE" w14:textId="77777777" w:rsidR="00ED288C" w:rsidRPr="002749C4" w:rsidRDefault="00ED288C" w:rsidP="00ED288C">
            <w:pPr>
              <w:rPr>
                <w:sz w:val="20"/>
                <w:szCs w:val="20"/>
              </w:rPr>
            </w:pPr>
            <w:r w:rsidRPr="00553184">
              <w:rPr>
                <w:rFonts w:ascii="Times New Roman" w:hAnsi="Times New Roman"/>
                <w:sz w:val="20"/>
                <w:szCs w:val="20"/>
              </w:rPr>
              <w:t xml:space="preserve">(2) </w:t>
            </w:r>
            <w:r w:rsidRPr="00553184">
              <w:rPr>
                <w:sz w:val="20"/>
                <w:szCs w:val="20"/>
              </w:rPr>
              <w:t xml:space="preserve"> </w:t>
            </w:r>
            <w:r w:rsidRPr="00553184">
              <w:rPr>
                <w:rFonts w:ascii="Times New Roman" w:hAnsi="Times New Roman"/>
                <w:sz w:val="20"/>
                <w:szCs w:val="20"/>
              </w:rPr>
              <w:t xml:space="preserve"> Student </w:t>
            </w:r>
            <w:r>
              <w:rPr>
                <w:rFonts w:ascii="Times New Roman" w:hAnsi="Times New Roman"/>
                <w:sz w:val="20"/>
                <w:szCs w:val="20"/>
              </w:rPr>
              <w:t>identifies three</w:t>
            </w:r>
            <w:r w:rsidRPr="00553184">
              <w:rPr>
                <w:rFonts w:ascii="Times New Roman" w:hAnsi="Times New Roman"/>
                <w:sz w:val="20"/>
                <w:szCs w:val="20"/>
              </w:rPr>
              <w:t xml:space="preserve"> </w:t>
            </w:r>
            <w:r>
              <w:rPr>
                <w:rFonts w:ascii="Times New Roman" w:hAnsi="Times New Roman"/>
                <w:sz w:val="20"/>
                <w:szCs w:val="20"/>
              </w:rPr>
              <w:t>appropriate</w:t>
            </w:r>
            <w:r w:rsidRPr="00553184">
              <w:rPr>
                <w:rFonts w:ascii="Times New Roman" w:hAnsi="Times New Roman"/>
                <w:sz w:val="20"/>
                <w:szCs w:val="20"/>
              </w:rPr>
              <w:t xml:space="preserve"> methods</w:t>
            </w:r>
            <w:r>
              <w:rPr>
                <w:rFonts w:ascii="Times New Roman" w:hAnsi="Times New Roman"/>
                <w:sz w:val="20"/>
                <w:szCs w:val="20"/>
              </w:rPr>
              <w:t xml:space="preserve"> </w:t>
            </w:r>
            <w:r w:rsidRPr="00553184">
              <w:rPr>
                <w:rFonts w:ascii="Times New Roman" w:hAnsi="Times New Roman"/>
                <w:sz w:val="20"/>
                <w:szCs w:val="20"/>
              </w:rPr>
              <w:t xml:space="preserve">he/she </w:t>
            </w:r>
            <w:r>
              <w:rPr>
                <w:rFonts w:ascii="Times New Roman" w:hAnsi="Times New Roman"/>
                <w:sz w:val="20"/>
                <w:szCs w:val="20"/>
              </w:rPr>
              <w:t xml:space="preserve">could use that are appropriate for the described scenario.  Student may focus more on explaining each method than explaining why each method is appropriate. However, all three are discussed. Answer </w:t>
            </w:r>
            <w:proofErr w:type="gramStart"/>
            <w:r>
              <w:rPr>
                <w:rFonts w:ascii="Times New Roman" w:hAnsi="Times New Roman"/>
                <w:sz w:val="20"/>
                <w:szCs w:val="20"/>
              </w:rPr>
              <w:t>as a whole demonstrates</w:t>
            </w:r>
            <w:proofErr w:type="gramEnd"/>
            <w:r>
              <w:rPr>
                <w:rFonts w:ascii="Times New Roman" w:hAnsi="Times New Roman"/>
                <w:sz w:val="20"/>
                <w:szCs w:val="20"/>
              </w:rPr>
              <w:t xml:space="preserve"> a clear understanding of TESOL methods.</w:t>
            </w:r>
          </w:p>
        </w:tc>
        <w:tc>
          <w:tcPr>
            <w:tcW w:w="2561" w:type="dxa"/>
          </w:tcPr>
          <w:p w14:paraId="3A32A154" w14:textId="77777777" w:rsidR="00ED288C" w:rsidRPr="002749C4" w:rsidRDefault="00ED288C" w:rsidP="00ED288C">
            <w:pPr>
              <w:rPr>
                <w:rFonts w:ascii="Times New Roman" w:hAnsi="Times New Roman"/>
                <w:sz w:val="20"/>
                <w:szCs w:val="20"/>
              </w:rPr>
            </w:pPr>
            <w:r w:rsidRPr="00553184">
              <w:rPr>
                <w:rFonts w:ascii="Times New Roman" w:hAnsi="Times New Roman"/>
                <w:sz w:val="20"/>
                <w:szCs w:val="20"/>
              </w:rPr>
              <w:t xml:space="preserve">(1)   Student </w:t>
            </w:r>
            <w:r>
              <w:rPr>
                <w:rFonts w:ascii="Times New Roman" w:hAnsi="Times New Roman"/>
                <w:sz w:val="20"/>
                <w:szCs w:val="20"/>
              </w:rPr>
              <w:t>identifies three</w:t>
            </w:r>
            <w:r w:rsidRPr="00553184">
              <w:rPr>
                <w:rFonts w:ascii="Times New Roman" w:hAnsi="Times New Roman"/>
                <w:sz w:val="20"/>
                <w:szCs w:val="20"/>
              </w:rPr>
              <w:t xml:space="preserve"> </w:t>
            </w:r>
            <w:r>
              <w:rPr>
                <w:rFonts w:ascii="Times New Roman" w:hAnsi="Times New Roman"/>
                <w:sz w:val="20"/>
                <w:szCs w:val="20"/>
              </w:rPr>
              <w:t>appropriate</w:t>
            </w:r>
            <w:r w:rsidRPr="00553184">
              <w:rPr>
                <w:rFonts w:ascii="Times New Roman" w:hAnsi="Times New Roman"/>
                <w:sz w:val="20"/>
                <w:szCs w:val="20"/>
              </w:rPr>
              <w:t xml:space="preserve"> methods</w:t>
            </w:r>
            <w:r>
              <w:rPr>
                <w:rFonts w:ascii="Times New Roman" w:hAnsi="Times New Roman"/>
                <w:sz w:val="20"/>
                <w:szCs w:val="20"/>
              </w:rPr>
              <w:t xml:space="preserve"> </w:t>
            </w:r>
            <w:r w:rsidRPr="00553184">
              <w:rPr>
                <w:rFonts w:ascii="Times New Roman" w:hAnsi="Times New Roman"/>
                <w:sz w:val="20"/>
                <w:szCs w:val="20"/>
              </w:rPr>
              <w:t xml:space="preserve">he/she </w:t>
            </w:r>
            <w:r>
              <w:rPr>
                <w:rFonts w:ascii="Times New Roman" w:hAnsi="Times New Roman"/>
                <w:sz w:val="20"/>
                <w:szCs w:val="20"/>
              </w:rPr>
              <w:t xml:space="preserve">could use that are appropriate for the described scenario.  Student does not clearly explain each method. There may be inaccurate or overly vague information in the explanation.  Student does not include any explanation for their method selection.  Answer </w:t>
            </w:r>
            <w:proofErr w:type="gramStart"/>
            <w:r>
              <w:rPr>
                <w:rFonts w:ascii="Times New Roman" w:hAnsi="Times New Roman"/>
                <w:sz w:val="20"/>
                <w:szCs w:val="20"/>
              </w:rPr>
              <w:t>as a whole does</w:t>
            </w:r>
            <w:proofErr w:type="gramEnd"/>
            <w:r>
              <w:rPr>
                <w:rFonts w:ascii="Times New Roman" w:hAnsi="Times New Roman"/>
                <w:sz w:val="20"/>
                <w:szCs w:val="20"/>
              </w:rPr>
              <w:t xml:space="preserve"> not demonstrate a clear understanding of TESOL methods.</w:t>
            </w:r>
          </w:p>
        </w:tc>
        <w:tc>
          <w:tcPr>
            <w:tcW w:w="1673" w:type="dxa"/>
          </w:tcPr>
          <w:p w14:paraId="4363D886" w14:textId="77777777" w:rsidR="00ED288C" w:rsidRPr="00553184" w:rsidRDefault="00ED288C" w:rsidP="00ED288C">
            <w:pPr>
              <w:rPr>
                <w:rFonts w:ascii="Times New Roman" w:hAnsi="Times New Roman"/>
                <w:sz w:val="20"/>
                <w:szCs w:val="20"/>
              </w:rPr>
            </w:pPr>
            <w:r w:rsidRPr="00553184">
              <w:rPr>
                <w:rFonts w:ascii="Times New Roman" w:hAnsi="Times New Roman"/>
                <w:sz w:val="20"/>
                <w:szCs w:val="20"/>
              </w:rPr>
              <w:t xml:space="preserve">Score: </w:t>
            </w:r>
          </w:p>
        </w:tc>
      </w:tr>
    </w:tbl>
    <w:p w14:paraId="78A2576E" w14:textId="55FDE284" w:rsidR="003A32E4" w:rsidRDefault="00B67DC7">
      <w:r>
        <w:rPr>
          <w:rFonts w:ascii="Times New Roman" w:hAnsi="Times New Roman"/>
          <w:bCs/>
          <w:sz w:val="20"/>
          <w:szCs w:val="20"/>
        </w:rPr>
        <w:t>2020-2021 ASL TESOL Graduate Artifact Rubric</w:t>
      </w:r>
    </w:p>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13EA" w14:textId="77777777" w:rsidR="00E0034F" w:rsidRDefault="00E0034F" w:rsidP="001F2A02">
      <w:r>
        <w:separator/>
      </w:r>
    </w:p>
  </w:endnote>
  <w:endnote w:type="continuationSeparator" w:id="0">
    <w:p w14:paraId="6CE55E67" w14:textId="77777777" w:rsidR="00E0034F" w:rsidRDefault="00E0034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91CB" w14:textId="77777777" w:rsidR="00E0034F" w:rsidRDefault="00E0034F" w:rsidP="001F2A02">
      <w:r>
        <w:separator/>
      </w:r>
    </w:p>
  </w:footnote>
  <w:footnote w:type="continuationSeparator" w:id="0">
    <w:p w14:paraId="670BC23F" w14:textId="77777777" w:rsidR="00E0034F" w:rsidRDefault="00E0034F"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2717"/>
    <w:rsid w:val="00046A6C"/>
    <w:rsid w:val="00060BE5"/>
    <w:rsid w:val="00071470"/>
    <w:rsid w:val="001160F4"/>
    <w:rsid w:val="00141CFC"/>
    <w:rsid w:val="0017571B"/>
    <w:rsid w:val="001926F3"/>
    <w:rsid w:val="001A7D75"/>
    <w:rsid w:val="001B1F95"/>
    <w:rsid w:val="001F2A02"/>
    <w:rsid w:val="00215BA4"/>
    <w:rsid w:val="00234076"/>
    <w:rsid w:val="0024670E"/>
    <w:rsid w:val="002C1781"/>
    <w:rsid w:val="002D5D87"/>
    <w:rsid w:val="002F75F1"/>
    <w:rsid w:val="00310A65"/>
    <w:rsid w:val="003425F4"/>
    <w:rsid w:val="0036061A"/>
    <w:rsid w:val="00371776"/>
    <w:rsid w:val="003A32E4"/>
    <w:rsid w:val="003E0415"/>
    <w:rsid w:val="00402256"/>
    <w:rsid w:val="00406B46"/>
    <w:rsid w:val="0044187F"/>
    <w:rsid w:val="00485486"/>
    <w:rsid w:val="00486A75"/>
    <w:rsid w:val="004A360E"/>
    <w:rsid w:val="004B0DA2"/>
    <w:rsid w:val="004C0112"/>
    <w:rsid w:val="004D5BD7"/>
    <w:rsid w:val="004D7D95"/>
    <w:rsid w:val="004E577A"/>
    <w:rsid w:val="005907DF"/>
    <w:rsid w:val="005C113E"/>
    <w:rsid w:val="005C34A3"/>
    <w:rsid w:val="005C7ECF"/>
    <w:rsid w:val="005D68AF"/>
    <w:rsid w:val="005F0B2E"/>
    <w:rsid w:val="00606BCF"/>
    <w:rsid w:val="006354B4"/>
    <w:rsid w:val="00656559"/>
    <w:rsid w:val="00664A15"/>
    <w:rsid w:val="00674E22"/>
    <w:rsid w:val="006D1A9A"/>
    <w:rsid w:val="006E294C"/>
    <w:rsid w:val="0070232E"/>
    <w:rsid w:val="007377F0"/>
    <w:rsid w:val="007531CA"/>
    <w:rsid w:val="0075740F"/>
    <w:rsid w:val="007706BE"/>
    <w:rsid w:val="008707A1"/>
    <w:rsid w:val="00871700"/>
    <w:rsid w:val="00886031"/>
    <w:rsid w:val="008B65DC"/>
    <w:rsid w:val="008C543D"/>
    <w:rsid w:val="008C5E68"/>
    <w:rsid w:val="008E617C"/>
    <w:rsid w:val="00906B14"/>
    <w:rsid w:val="009414E6"/>
    <w:rsid w:val="009952EC"/>
    <w:rsid w:val="009A14CB"/>
    <w:rsid w:val="009E5E98"/>
    <w:rsid w:val="00A8015B"/>
    <w:rsid w:val="00A97885"/>
    <w:rsid w:val="00AA5FB2"/>
    <w:rsid w:val="00AC6DD2"/>
    <w:rsid w:val="00AE7017"/>
    <w:rsid w:val="00B3239E"/>
    <w:rsid w:val="00B63581"/>
    <w:rsid w:val="00B67DC7"/>
    <w:rsid w:val="00B82574"/>
    <w:rsid w:val="00BA43B7"/>
    <w:rsid w:val="00BC0316"/>
    <w:rsid w:val="00C4455B"/>
    <w:rsid w:val="00C71B07"/>
    <w:rsid w:val="00C81981"/>
    <w:rsid w:val="00D03ECA"/>
    <w:rsid w:val="00D077D7"/>
    <w:rsid w:val="00D51E71"/>
    <w:rsid w:val="00D713AB"/>
    <w:rsid w:val="00D86425"/>
    <w:rsid w:val="00DB3F4A"/>
    <w:rsid w:val="00DD4EBB"/>
    <w:rsid w:val="00E0034F"/>
    <w:rsid w:val="00E73499"/>
    <w:rsid w:val="00E95BBD"/>
    <w:rsid w:val="00EB65C8"/>
    <w:rsid w:val="00EC1C25"/>
    <w:rsid w:val="00EC414F"/>
    <w:rsid w:val="00ED288C"/>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21">
    <w:name w:val="Table Grid21"/>
    <w:basedOn w:val="TableNormal"/>
    <w:next w:val="TableGrid"/>
    <w:uiPriority w:val="39"/>
    <w:rsid w:val="00B67D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2021-09-01T21:10:00Z</dcterms:created>
  <dcterms:modified xsi:type="dcterms:W3CDTF">2021-09-01T21:10:00Z</dcterms:modified>
</cp:coreProperties>
</file>