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3942A239" w:rsidR="0017571B" w:rsidRPr="004C0112" w:rsidRDefault="0084082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PCAL</w:t>
            </w:r>
          </w:p>
        </w:tc>
        <w:tc>
          <w:tcPr>
            <w:tcW w:w="7920" w:type="dxa"/>
          </w:tcPr>
          <w:p w14:paraId="4B219735" w14:textId="3E7C34EC" w:rsidR="0017571B" w:rsidRPr="004C0112" w:rsidRDefault="0084082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Philosophy and Religion</w:t>
            </w:r>
          </w:p>
        </w:tc>
      </w:tr>
      <w:tr w:rsidR="0017571B" w14:paraId="3FB6829E" w14:textId="77777777" w:rsidTr="00B33C1F">
        <w:tc>
          <w:tcPr>
            <w:tcW w:w="14395" w:type="dxa"/>
            <w:gridSpan w:val="2"/>
          </w:tcPr>
          <w:p w14:paraId="7CC57F6D" w14:textId="088719BB" w:rsidR="0017571B" w:rsidRPr="004C0112" w:rsidRDefault="0084082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Asian Religions and Cultures, 615</w:t>
            </w:r>
          </w:p>
        </w:tc>
      </w:tr>
      <w:tr w:rsidR="00141CFC" w14:paraId="56A671A4" w14:textId="77777777" w:rsidTr="00B33C1F">
        <w:tc>
          <w:tcPr>
            <w:tcW w:w="14395" w:type="dxa"/>
            <w:gridSpan w:val="2"/>
          </w:tcPr>
          <w:p w14:paraId="6AD05DAC" w14:textId="638450C3" w:rsidR="00141CFC" w:rsidRPr="004C0112" w:rsidRDefault="0084082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Jeffrey Samuels</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06078DB5"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84082F">
              <w:rPr>
                <w:rFonts w:ascii="Times New Roman" w:hAnsi="Times New Roman"/>
                <w:b/>
                <w:bCs/>
                <w:sz w:val="20"/>
                <w:szCs w:val="20"/>
              </w:rPr>
              <w:t xml:space="preserve"> </w:t>
            </w:r>
            <w:r w:rsidR="0084082F" w:rsidRPr="00760E0A">
              <w:rPr>
                <w:sz w:val="22"/>
                <w:szCs w:val="22"/>
              </w:rPr>
              <w:t xml:space="preserve"> Students will be able to effectively collect and analyze evidence in the field of Asian religions and cultures in support of a position.</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041E994E" w:rsidR="007706BE" w:rsidRPr="0084082F" w:rsidRDefault="0084082F" w:rsidP="0084082F">
            <w:pPr>
              <w:widowControl w:val="0"/>
              <w:autoSpaceDE w:val="0"/>
              <w:autoSpaceDN w:val="0"/>
              <w:adjustRightInd w:val="0"/>
              <w:rPr>
                <w:b/>
                <w:bCs/>
                <w:sz w:val="22"/>
                <w:szCs w:val="22"/>
              </w:rPr>
            </w:pPr>
            <w:r w:rsidRPr="00760E0A">
              <w:rPr>
                <w:sz w:val="22"/>
                <w:szCs w:val="22"/>
              </w:rPr>
              <w:t>Direct: Analysis of Senior Seminar papers</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0594B6ED" w14:textId="52768043"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705F90C3" w:rsidR="007706BE" w:rsidRPr="00FF3DCE" w:rsidRDefault="0084082F"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0" w:name="Check3"/>
            <w:r>
              <w:rPr>
                <w:rFonts w:ascii="Times New Roman" w:hAnsi="Times New Roman"/>
                <w:b/>
                <w:sz w:val="20"/>
                <w:szCs w:val="20"/>
              </w:rPr>
              <w:instrText xml:space="preserve"> FORMCHECKBOX </w:instrText>
            </w:r>
            <w:r w:rsidR="005A439D">
              <w:rPr>
                <w:rFonts w:ascii="Times New Roman" w:hAnsi="Times New Roman"/>
                <w:b/>
                <w:sz w:val="20"/>
                <w:szCs w:val="20"/>
              </w:rPr>
            </w:r>
            <w:r w:rsidR="005A439D">
              <w:rPr>
                <w:rFonts w:ascii="Times New Roman" w:hAnsi="Times New Roman"/>
                <w:b/>
                <w:sz w:val="20"/>
                <w:szCs w:val="20"/>
              </w:rPr>
              <w:fldChar w:fldCharType="separate"/>
            </w:r>
            <w:r>
              <w:rPr>
                <w:rFonts w:ascii="Times New Roman" w:hAnsi="Times New Roman"/>
                <w:b/>
                <w:sz w:val="20"/>
                <w:szCs w:val="20"/>
              </w:rPr>
              <w:fldChar w:fldCharType="end"/>
            </w:r>
            <w:bookmarkEnd w:id="0"/>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5A439D">
              <w:rPr>
                <w:rFonts w:ascii="Times New Roman" w:hAnsi="Times New Roman"/>
                <w:b/>
                <w:sz w:val="20"/>
                <w:szCs w:val="20"/>
              </w:rPr>
            </w:r>
            <w:r w:rsidR="005A439D">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5484C95C"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84082F">
              <w:rPr>
                <w:rFonts w:ascii="Times New Roman" w:hAnsi="Times New Roman"/>
                <w:b/>
                <w:bCs/>
                <w:sz w:val="20"/>
                <w:szCs w:val="20"/>
              </w:rPr>
              <w:t xml:space="preserve"> </w:t>
            </w:r>
            <w:r w:rsidR="0084082F" w:rsidRPr="00760E0A">
              <w:rPr>
                <w:sz w:val="22"/>
                <w:szCs w:val="22"/>
              </w:rPr>
              <w:t xml:space="preserve"> Students will be able to demonstrate effective written communication skills appropriate to the field of Asian religions and cultures.</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0397986" w14:textId="77777777" w:rsidR="0084082F" w:rsidRPr="00760E0A" w:rsidRDefault="0084082F" w:rsidP="0084082F">
            <w:pPr>
              <w:widowControl w:val="0"/>
              <w:autoSpaceDE w:val="0"/>
              <w:autoSpaceDN w:val="0"/>
              <w:adjustRightInd w:val="0"/>
              <w:rPr>
                <w:b/>
                <w:bCs/>
                <w:sz w:val="22"/>
                <w:szCs w:val="22"/>
              </w:rPr>
            </w:pPr>
            <w:r w:rsidRPr="00760E0A">
              <w:rPr>
                <w:sz w:val="22"/>
                <w:szCs w:val="22"/>
              </w:rPr>
              <w:t>Direct: Analysis of Senior Seminar papers</w:t>
            </w:r>
          </w:p>
          <w:p w14:paraId="7C91D468" w14:textId="0BF143A2"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0890784"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59BEF8F1" w:rsidR="00402256" w:rsidRPr="00FF3DCE" w:rsidRDefault="0084082F"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2" w:name="Check1"/>
            <w:r>
              <w:rPr>
                <w:rFonts w:ascii="Times New Roman" w:hAnsi="Times New Roman"/>
                <w:b/>
                <w:sz w:val="20"/>
                <w:szCs w:val="20"/>
              </w:rPr>
              <w:instrText xml:space="preserve"> FORMCHECKBOX </w:instrText>
            </w:r>
            <w:r w:rsidR="005A439D">
              <w:rPr>
                <w:rFonts w:ascii="Times New Roman" w:hAnsi="Times New Roman"/>
                <w:b/>
                <w:sz w:val="20"/>
                <w:szCs w:val="20"/>
              </w:rPr>
            </w:r>
            <w:r w:rsidR="005A439D">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5A439D">
              <w:rPr>
                <w:rFonts w:ascii="Times New Roman" w:hAnsi="Times New Roman"/>
                <w:b/>
                <w:sz w:val="20"/>
                <w:szCs w:val="20"/>
              </w:rPr>
            </w:r>
            <w:r w:rsidR="005A439D">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496D4861"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84082F">
              <w:rPr>
                <w:rFonts w:ascii="Times New Roman" w:hAnsi="Times New Roman"/>
                <w:b/>
                <w:bCs/>
                <w:sz w:val="20"/>
                <w:szCs w:val="20"/>
              </w:rPr>
              <w:t xml:space="preserve"> </w:t>
            </w:r>
            <w:r w:rsidR="0084082F" w:rsidRPr="00760E0A">
              <w:rPr>
                <w:sz w:val="22"/>
                <w:szCs w:val="22"/>
              </w:rPr>
              <w:t xml:space="preserve"> Students will demonstrate global and/or intercultural learning in th</w:t>
            </w:r>
            <w:r w:rsidR="007503E9">
              <w:rPr>
                <w:sz w:val="22"/>
                <w:szCs w:val="22"/>
              </w:rPr>
              <w:t>ei</w:t>
            </w:r>
            <w:r w:rsidR="0084082F" w:rsidRPr="00760E0A">
              <w:rPr>
                <w:sz w:val="22"/>
                <w:szCs w:val="22"/>
              </w:rPr>
              <w:t>r written communication.</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1AF4F055" w:rsidR="00B3239E" w:rsidRPr="0084082F" w:rsidRDefault="0084082F" w:rsidP="0084082F">
            <w:pPr>
              <w:widowControl w:val="0"/>
              <w:autoSpaceDE w:val="0"/>
              <w:autoSpaceDN w:val="0"/>
              <w:adjustRightInd w:val="0"/>
              <w:rPr>
                <w:b/>
                <w:bCs/>
                <w:sz w:val="22"/>
                <w:szCs w:val="22"/>
              </w:rPr>
            </w:pPr>
            <w:r w:rsidRPr="00760E0A">
              <w:rPr>
                <w:sz w:val="22"/>
                <w:szCs w:val="22"/>
              </w:rPr>
              <w:t>Direct: Analysis of Senior Seminar papers</w:t>
            </w: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12F566B" w:rsidR="00402256" w:rsidRPr="00FF3DCE" w:rsidRDefault="0084082F"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4" w:name="Check5"/>
            <w:r>
              <w:rPr>
                <w:rFonts w:ascii="Times New Roman" w:hAnsi="Times New Roman"/>
                <w:b/>
                <w:sz w:val="20"/>
                <w:szCs w:val="20"/>
              </w:rPr>
              <w:instrText xml:space="preserve"> FORMCHECKBOX </w:instrText>
            </w:r>
            <w:r w:rsidR="005A439D">
              <w:rPr>
                <w:rFonts w:ascii="Times New Roman" w:hAnsi="Times New Roman"/>
                <w:b/>
                <w:sz w:val="20"/>
                <w:szCs w:val="20"/>
              </w:rPr>
            </w:r>
            <w:r w:rsidR="005A439D">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5A439D">
              <w:rPr>
                <w:rFonts w:ascii="Times New Roman" w:hAnsi="Times New Roman"/>
                <w:b/>
                <w:sz w:val="20"/>
                <w:szCs w:val="20"/>
              </w:rPr>
            </w:r>
            <w:r w:rsidR="005A439D">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0BB52837" w14:textId="51D6C944" w:rsidR="0075740F" w:rsidRPr="0084082F" w:rsidRDefault="0084082F" w:rsidP="0075740F">
            <w:pPr>
              <w:jc w:val="both"/>
              <w:rPr>
                <w:bCs/>
                <w:sz w:val="22"/>
                <w:szCs w:val="22"/>
              </w:rPr>
            </w:pPr>
            <w:r w:rsidRPr="00760E0A">
              <w:rPr>
                <w:bCs/>
                <w:sz w:val="22"/>
                <w:szCs w:val="22"/>
              </w:rPr>
              <w:t xml:space="preserve">During the 2018-2019 academic year, the same assessment action resulted in the program failing to meet 75% of the Student Learning Outcomes. After analyzing the data, the faculty determined that the reason for the difference between that year and the 2019-2020 academic year was how the senior seminar was taught.   As this is a course that generally rotates among faculty members, a decision was reached to implement changes in the course overall so that it is taught in a more uniform manner and in a way that it was taught during spring 2020. </w:t>
            </w:r>
            <w:r>
              <w:rPr>
                <w:bCs/>
                <w:sz w:val="22"/>
                <w:szCs w:val="22"/>
              </w:rPr>
              <w:t>During Spring 2021, the seminar was taught in that manner and 100% of students met all three learning outcomes</w:t>
            </w:r>
            <w:r w:rsidR="009E1A73">
              <w:rPr>
                <w:bCs/>
                <w:sz w:val="22"/>
                <w:szCs w:val="22"/>
              </w:rPr>
              <w:t xml:space="preserve"> and scored either a 4 (capstone) or 3 (upper milestone)</w:t>
            </w:r>
            <w:r>
              <w:rPr>
                <w:bCs/>
                <w:sz w:val="22"/>
                <w:szCs w:val="22"/>
              </w:rPr>
              <w:t xml:space="preserve">. </w:t>
            </w:r>
            <w:r w:rsidRPr="00760E0A">
              <w:rPr>
                <w:bCs/>
                <w:sz w:val="22"/>
                <w:szCs w:val="22"/>
              </w:rPr>
              <w:t>As it is important to keep the assessment criteria the same while the transformation takes place, the same student learning outcomes with the same targets remain</w:t>
            </w:r>
            <w:r w:rsidR="009E1A73">
              <w:rPr>
                <w:bCs/>
                <w:sz w:val="22"/>
                <w:szCs w:val="22"/>
              </w:rPr>
              <w:t>ed</w:t>
            </w:r>
            <w:r w:rsidRPr="00760E0A">
              <w:rPr>
                <w:bCs/>
                <w:sz w:val="22"/>
                <w:szCs w:val="22"/>
              </w:rPr>
              <w:t xml:space="preserve"> unchanged</w:t>
            </w:r>
            <w:r w:rsidR="009E1A73">
              <w:rPr>
                <w:bCs/>
                <w:sz w:val="22"/>
                <w:szCs w:val="22"/>
              </w:rPr>
              <w:t xml:space="preserve"> for the current academic year.</w:t>
            </w:r>
          </w:p>
        </w:tc>
      </w:tr>
    </w:tbl>
    <w:p w14:paraId="1EDA3449" w14:textId="77777777" w:rsidR="0084082F" w:rsidRPr="00760E0A" w:rsidRDefault="0084082F" w:rsidP="0084082F">
      <w:pPr>
        <w:rPr>
          <w:sz w:val="22"/>
          <w:szCs w:val="22"/>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2610"/>
        <w:gridCol w:w="1170"/>
      </w:tblGrid>
      <w:tr w:rsidR="0084082F" w:rsidRPr="00760E0A" w14:paraId="6A42126E" w14:textId="77777777" w:rsidTr="00CD33EB">
        <w:trPr>
          <w:trHeight w:val="144"/>
        </w:trPr>
        <w:tc>
          <w:tcPr>
            <w:tcW w:w="14395" w:type="dxa"/>
            <w:gridSpan w:val="6"/>
            <w:shd w:val="pct10" w:color="auto" w:fill="auto"/>
            <w:tcMar>
              <w:top w:w="100" w:type="nil"/>
              <w:right w:w="100" w:type="nil"/>
            </w:tcMar>
          </w:tcPr>
          <w:p w14:paraId="34148872" w14:textId="77777777" w:rsidR="0084082F" w:rsidRPr="00760E0A" w:rsidRDefault="0084082F" w:rsidP="00CD33EB">
            <w:pPr>
              <w:widowControl w:val="0"/>
              <w:autoSpaceDE w:val="0"/>
              <w:autoSpaceDN w:val="0"/>
              <w:adjustRightInd w:val="0"/>
              <w:jc w:val="center"/>
              <w:rPr>
                <w:b/>
                <w:bCs/>
                <w:sz w:val="22"/>
                <w:szCs w:val="22"/>
              </w:rPr>
            </w:pPr>
            <w:r w:rsidRPr="00760E0A">
              <w:rPr>
                <w:b/>
                <w:bCs/>
                <w:sz w:val="22"/>
                <w:szCs w:val="22"/>
              </w:rPr>
              <w:t>Student Learning Outcome 1</w:t>
            </w:r>
          </w:p>
          <w:p w14:paraId="12C35289" w14:textId="77777777" w:rsidR="0084082F" w:rsidRPr="00760E0A" w:rsidRDefault="0084082F" w:rsidP="00CD33EB">
            <w:pPr>
              <w:widowControl w:val="0"/>
              <w:autoSpaceDE w:val="0"/>
              <w:autoSpaceDN w:val="0"/>
              <w:adjustRightInd w:val="0"/>
              <w:jc w:val="center"/>
              <w:rPr>
                <w:b/>
                <w:bCs/>
                <w:sz w:val="22"/>
                <w:szCs w:val="22"/>
              </w:rPr>
            </w:pPr>
          </w:p>
        </w:tc>
      </w:tr>
      <w:tr w:rsidR="0084082F" w:rsidRPr="00760E0A" w14:paraId="08F4B185" w14:textId="77777777" w:rsidTr="00CD33EB">
        <w:trPr>
          <w:trHeight w:val="323"/>
        </w:trPr>
        <w:tc>
          <w:tcPr>
            <w:tcW w:w="2875" w:type="dxa"/>
            <w:tcBorders>
              <w:bottom w:val="single" w:sz="4" w:space="0" w:color="auto"/>
            </w:tcBorders>
            <w:shd w:val="clear" w:color="auto" w:fill="auto"/>
            <w:tcMar>
              <w:top w:w="100" w:type="nil"/>
              <w:right w:w="100" w:type="nil"/>
            </w:tcMar>
          </w:tcPr>
          <w:p w14:paraId="03C9FCCD" w14:textId="77777777" w:rsidR="0084082F" w:rsidRPr="00760E0A" w:rsidRDefault="0084082F" w:rsidP="00CD33EB">
            <w:pPr>
              <w:widowControl w:val="0"/>
              <w:autoSpaceDE w:val="0"/>
              <w:autoSpaceDN w:val="0"/>
              <w:adjustRightInd w:val="0"/>
              <w:rPr>
                <w:b/>
                <w:bCs/>
                <w:sz w:val="22"/>
                <w:szCs w:val="22"/>
              </w:rPr>
            </w:pPr>
            <w:r w:rsidRPr="00760E0A">
              <w:rPr>
                <w:b/>
                <w:bCs/>
                <w:sz w:val="22"/>
                <w:szCs w:val="22"/>
              </w:rPr>
              <w:t xml:space="preserve">Student Learning Outcome </w:t>
            </w:r>
          </w:p>
        </w:tc>
        <w:tc>
          <w:tcPr>
            <w:tcW w:w="11520" w:type="dxa"/>
            <w:gridSpan w:val="5"/>
            <w:tcBorders>
              <w:bottom w:val="single" w:sz="4" w:space="0" w:color="auto"/>
            </w:tcBorders>
            <w:shd w:val="clear" w:color="auto" w:fill="auto"/>
            <w:tcMar>
              <w:top w:w="100" w:type="nil"/>
              <w:right w:w="100" w:type="nil"/>
            </w:tcMar>
          </w:tcPr>
          <w:p w14:paraId="76F3FB18" w14:textId="77777777" w:rsidR="0084082F" w:rsidRPr="00760E0A" w:rsidRDefault="0084082F" w:rsidP="00CD33EB">
            <w:pPr>
              <w:widowControl w:val="0"/>
              <w:autoSpaceDE w:val="0"/>
              <w:autoSpaceDN w:val="0"/>
              <w:adjustRightInd w:val="0"/>
              <w:rPr>
                <w:bCs/>
                <w:color w:val="767171" w:themeColor="background2" w:themeShade="80"/>
                <w:sz w:val="22"/>
                <w:szCs w:val="22"/>
              </w:rPr>
            </w:pPr>
            <w:r w:rsidRPr="00760E0A">
              <w:rPr>
                <w:sz w:val="22"/>
                <w:szCs w:val="22"/>
              </w:rPr>
              <w:t>Students will be able to effectively collect and analyze evidence in the field of Asian religions and cultures in support of a position.</w:t>
            </w:r>
          </w:p>
        </w:tc>
      </w:tr>
      <w:tr w:rsidR="0084082F" w:rsidRPr="00760E0A" w14:paraId="423FEF0A" w14:textId="77777777" w:rsidTr="00CD33EB">
        <w:trPr>
          <w:trHeight w:val="87"/>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2E4B0113" w14:textId="77777777" w:rsidR="0084082F" w:rsidRPr="00760E0A" w:rsidRDefault="0084082F" w:rsidP="00CD33EB">
            <w:pPr>
              <w:widowControl w:val="0"/>
              <w:autoSpaceDE w:val="0"/>
              <w:autoSpaceDN w:val="0"/>
              <w:adjustRightInd w:val="0"/>
              <w:rPr>
                <w:bCs/>
                <w:sz w:val="22"/>
                <w:szCs w:val="22"/>
              </w:rPr>
            </w:pPr>
            <w:r w:rsidRPr="00760E0A">
              <w:rPr>
                <w:b/>
                <w:bCs/>
                <w:sz w:val="22"/>
                <w:szCs w:val="22"/>
              </w:rPr>
              <w:t xml:space="preserve">Measurement Instrument 1 </w:t>
            </w: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0E7513DE" w14:textId="77777777" w:rsidR="0084082F" w:rsidRPr="00760E0A" w:rsidRDefault="0084082F" w:rsidP="00CD33EB">
            <w:pPr>
              <w:widowControl w:val="0"/>
              <w:autoSpaceDE w:val="0"/>
              <w:autoSpaceDN w:val="0"/>
              <w:adjustRightInd w:val="0"/>
              <w:rPr>
                <w:b/>
                <w:bCs/>
                <w:sz w:val="22"/>
                <w:szCs w:val="22"/>
              </w:rPr>
            </w:pPr>
            <w:r w:rsidRPr="00760E0A">
              <w:rPr>
                <w:sz w:val="22"/>
                <w:szCs w:val="22"/>
              </w:rPr>
              <w:t>Direct: Analysis of Senior Seminar papers</w:t>
            </w:r>
          </w:p>
          <w:p w14:paraId="3C87D695" w14:textId="77777777" w:rsidR="0084082F" w:rsidRPr="00760E0A" w:rsidRDefault="0084082F" w:rsidP="00CD33EB">
            <w:pPr>
              <w:rPr>
                <w:color w:val="767171" w:themeColor="background2" w:themeShade="80"/>
                <w:sz w:val="22"/>
                <w:szCs w:val="22"/>
              </w:rPr>
            </w:pPr>
          </w:p>
        </w:tc>
      </w:tr>
      <w:tr w:rsidR="0084082F" w:rsidRPr="00760E0A" w14:paraId="36676FC2" w14:textId="77777777" w:rsidTr="00CD33EB">
        <w:tc>
          <w:tcPr>
            <w:tcW w:w="2875" w:type="dxa"/>
            <w:tcBorders>
              <w:left w:val="single" w:sz="4" w:space="0" w:color="auto"/>
            </w:tcBorders>
            <w:shd w:val="pct12" w:color="auto" w:fill="auto"/>
            <w:tcMar>
              <w:top w:w="100" w:type="nil"/>
              <w:right w:w="100" w:type="nil"/>
            </w:tcMar>
          </w:tcPr>
          <w:p w14:paraId="29C23577" w14:textId="77777777" w:rsidR="0084082F" w:rsidRPr="00760E0A" w:rsidRDefault="0084082F" w:rsidP="00CD33EB">
            <w:pPr>
              <w:widowControl w:val="0"/>
              <w:autoSpaceDE w:val="0"/>
              <w:autoSpaceDN w:val="0"/>
              <w:adjustRightInd w:val="0"/>
              <w:rPr>
                <w:b/>
                <w:sz w:val="22"/>
                <w:szCs w:val="22"/>
              </w:rPr>
            </w:pPr>
            <w:r w:rsidRPr="00760E0A">
              <w:rPr>
                <w:b/>
                <w:sz w:val="22"/>
                <w:szCs w:val="22"/>
              </w:rPr>
              <w:t>Criteria for Student Success</w:t>
            </w:r>
          </w:p>
        </w:tc>
        <w:tc>
          <w:tcPr>
            <w:tcW w:w="11520" w:type="dxa"/>
            <w:gridSpan w:val="5"/>
            <w:tcBorders>
              <w:right w:val="single" w:sz="4" w:space="0" w:color="auto"/>
            </w:tcBorders>
            <w:shd w:val="pct12" w:color="auto" w:fill="auto"/>
            <w:tcMar>
              <w:top w:w="100" w:type="nil"/>
              <w:right w:w="100" w:type="nil"/>
            </w:tcMar>
          </w:tcPr>
          <w:p w14:paraId="1A89E01D" w14:textId="77777777" w:rsidR="0084082F" w:rsidRPr="00760E0A" w:rsidRDefault="0084082F" w:rsidP="00CD33EB">
            <w:pPr>
              <w:widowControl w:val="0"/>
              <w:autoSpaceDE w:val="0"/>
              <w:autoSpaceDN w:val="0"/>
              <w:adjustRightInd w:val="0"/>
              <w:rPr>
                <w:color w:val="767171" w:themeColor="background2" w:themeShade="80"/>
                <w:sz w:val="22"/>
                <w:szCs w:val="22"/>
              </w:rPr>
            </w:pPr>
            <w:r w:rsidRPr="00760E0A">
              <w:rPr>
                <w:sz w:val="22"/>
                <w:szCs w:val="22"/>
              </w:rPr>
              <w:t>Drawing from AAC&amp;U VALUES rubric for Inquiry and Analysis, criteria for student success is capstone level or upper milestone level with respect to topic selection, existing knowledge, research, and/or views, analysis, and conclusion.</w:t>
            </w:r>
          </w:p>
        </w:tc>
      </w:tr>
      <w:tr w:rsidR="0084082F" w:rsidRPr="00760E0A" w14:paraId="63C33541" w14:textId="77777777" w:rsidTr="00CD33EB">
        <w:tc>
          <w:tcPr>
            <w:tcW w:w="4315" w:type="dxa"/>
            <w:gridSpan w:val="2"/>
            <w:tcBorders>
              <w:left w:val="single" w:sz="4" w:space="0" w:color="auto"/>
              <w:bottom w:val="single" w:sz="4" w:space="0" w:color="auto"/>
            </w:tcBorders>
            <w:shd w:val="pct12" w:color="auto" w:fill="auto"/>
            <w:tcMar>
              <w:top w:w="100" w:type="nil"/>
              <w:right w:w="100" w:type="nil"/>
            </w:tcMar>
          </w:tcPr>
          <w:p w14:paraId="39373A4C" w14:textId="77777777" w:rsidR="0084082F" w:rsidRPr="00760E0A" w:rsidRDefault="0084082F" w:rsidP="00CD33EB">
            <w:pPr>
              <w:widowControl w:val="0"/>
              <w:autoSpaceDE w:val="0"/>
              <w:autoSpaceDN w:val="0"/>
              <w:adjustRightInd w:val="0"/>
              <w:rPr>
                <w:b/>
                <w:sz w:val="22"/>
                <w:szCs w:val="22"/>
              </w:rPr>
            </w:pPr>
            <w:r w:rsidRPr="00760E0A">
              <w:rPr>
                <w:b/>
                <w:sz w:val="22"/>
                <w:szCs w:val="22"/>
              </w:rPr>
              <w:t>Program Success Target for this Measurement</w:t>
            </w:r>
          </w:p>
          <w:p w14:paraId="16C440C4" w14:textId="77777777" w:rsidR="0084082F" w:rsidRPr="00760E0A" w:rsidRDefault="0084082F" w:rsidP="00CD33EB">
            <w:pPr>
              <w:widowControl w:val="0"/>
              <w:autoSpaceDE w:val="0"/>
              <w:autoSpaceDN w:val="0"/>
              <w:adjustRightInd w:val="0"/>
              <w:rPr>
                <w:sz w:val="22"/>
                <w:szCs w:val="22"/>
              </w:rPr>
            </w:pPr>
          </w:p>
          <w:p w14:paraId="01F559CD" w14:textId="77777777" w:rsidR="0084082F" w:rsidRPr="00760E0A" w:rsidRDefault="0084082F" w:rsidP="00CD33EB">
            <w:pPr>
              <w:widowControl w:val="0"/>
              <w:autoSpaceDE w:val="0"/>
              <w:autoSpaceDN w:val="0"/>
              <w:adjustRightInd w:val="0"/>
              <w:rPr>
                <w:sz w:val="22"/>
                <w:szCs w:val="22"/>
              </w:rPr>
            </w:pPr>
          </w:p>
        </w:tc>
        <w:tc>
          <w:tcPr>
            <w:tcW w:w="4050" w:type="dxa"/>
            <w:tcBorders>
              <w:bottom w:val="single" w:sz="4" w:space="0" w:color="auto"/>
            </w:tcBorders>
            <w:shd w:val="pct12" w:color="auto" w:fill="auto"/>
          </w:tcPr>
          <w:p w14:paraId="3C82C299" w14:textId="673F3F33" w:rsidR="0084082F" w:rsidRPr="00760E0A" w:rsidRDefault="002E1C7B" w:rsidP="00CD33EB">
            <w:pPr>
              <w:widowControl w:val="0"/>
              <w:autoSpaceDE w:val="0"/>
              <w:autoSpaceDN w:val="0"/>
              <w:adjustRightInd w:val="0"/>
              <w:jc w:val="center"/>
              <w:rPr>
                <w:sz w:val="22"/>
                <w:szCs w:val="22"/>
              </w:rPr>
            </w:pPr>
            <w:r>
              <w:rPr>
                <w:color w:val="000000" w:themeColor="text1"/>
                <w:sz w:val="22"/>
                <w:szCs w:val="22"/>
              </w:rPr>
              <w:t>75</w:t>
            </w:r>
            <w:r w:rsidR="0084082F" w:rsidRPr="00760E0A">
              <w:rPr>
                <w:color w:val="000000" w:themeColor="text1"/>
                <w:sz w:val="22"/>
                <w:szCs w:val="22"/>
              </w:rPr>
              <w:t>% of students at capstone (4) or upper milestone (3) level</w:t>
            </w:r>
          </w:p>
        </w:tc>
        <w:tc>
          <w:tcPr>
            <w:tcW w:w="2250" w:type="dxa"/>
            <w:tcBorders>
              <w:bottom w:val="single" w:sz="4" w:space="0" w:color="auto"/>
            </w:tcBorders>
            <w:shd w:val="pct12" w:color="auto" w:fill="auto"/>
            <w:tcMar>
              <w:top w:w="100" w:type="nil"/>
              <w:right w:w="100" w:type="nil"/>
            </w:tcMar>
          </w:tcPr>
          <w:p w14:paraId="7F70391A" w14:textId="77777777" w:rsidR="0084082F" w:rsidRPr="00760E0A" w:rsidRDefault="0084082F" w:rsidP="00CD33EB">
            <w:pPr>
              <w:widowControl w:val="0"/>
              <w:autoSpaceDE w:val="0"/>
              <w:autoSpaceDN w:val="0"/>
              <w:adjustRightInd w:val="0"/>
              <w:jc w:val="right"/>
              <w:rPr>
                <w:b/>
                <w:sz w:val="22"/>
                <w:szCs w:val="22"/>
              </w:rPr>
            </w:pPr>
            <w:r w:rsidRPr="00760E0A">
              <w:rPr>
                <w:b/>
                <w:sz w:val="22"/>
                <w:szCs w:val="22"/>
              </w:rPr>
              <w:t>Percent of Program Achieving Target</w:t>
            </w:r>
          </w:p>
        </w:tc>
        <w:tc>
          <w:tcPr>
            <w:tcW w:w="3780" w:type="dxa"/>
            <w:gridSpan w:val="2"/>
            <w:tcBorders>
              <w:bottom w:val="single" w:sz="4" w:space="0" w:color="auto"/>
              <w:right w:val="single" w:sz="4" w:space="0" w:color="auto"/>
            </w:tcBorders>
            <w:shd w:val="pct12" w:color="auto" w:fill="auto"/>
            <w:tcMar>
              <w:top w:w="100" w:type="nil"/>
              <w:right w:w="100" w:type="nil"/>
            </w:tcMar>
          </w:tcPr>
          <w:p w14:paraId="0F4BA345" w14:textId="77777777" w:rsidR="0084082F" w:rsidRPr="00760E0A" w:rsidRDefault="0084082F" w:rsidP="00CD33EB">
            <w:pPr>
              <w:widowControl w:val="0"/>
              <w:autoSpaceDE w:val="0"/>
              <w:autoSpaceDN w:val="0"/>
              <w:adjustRightInd w:val="0"/>
              <w:rPr>
                <w:color w:val="767171" w:themeColor="background2" w:themeShade="80"/>
                <w:sz w:val="22"/>
                <w:szCs w:val="22"/>
              </w:rPr>
            </w:pPr>
            <w:r w:rsidRPr="00760E0A">
              <w:rPr>
                <w:color w:val="000000" w:themeColor="text1"/>
                <w:sz w:val="22"/>
                <w:szCs w:val="22"/>
              </w:rPr>
              <w:t>100%</w:t>
            </w:r>
          </w:p>
        </w:tc>
      </w:tr>
      <w:tr w:rsidR="0084082F" w:rsidRPr="00760E0A" w14:paraId="40DFBA10" w14:textId="77777777" w:rsidTr="00CD33EB">
        <w:trPr>
          <w:trHeight w:val="941"/>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2DED860" w14:textId="77777777" w:rsidR="0084082F" w:rsidRPr="00760E0A" w:rsidRDefault="0084082F" w:rsidP="00CD33EB">
            <w:pPr>
              <w:widowControl w:val="0"/>
              <w:autoSpaceDE w:val="0"/>
              <w:autoSpaceDN w:val="0"/>
              <w:adjustRightInd w:val="0"/>
              <w:rPr>
                <w:b/>
                <w:bCs/>
                <w:sz w:val="22"/>
                <w:szCs w:val="22"/>
              </w:rPr>
            </w:pPr>
            <w:r w:rsidRPr="00760E0A">
              <w:rPr>
                <w:b/>
                <w:sz w:val="22"/>
                <w:szCs w:val="22"/>
              </w:rPr>
              <w:t>Methods</w:t>
            </w:r>
            <w:r w:rsidRPr="00760E0A">
              <w:rPr>
                <w:b/>
                <w:bCs/>
                <w:sz w:val="22"/>
                <w:szCs w:val="22"/>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4A1FCBF1" w14:textId="39035007" w:rsidR="0084082F" w:rsidRPr="00760E0A" w:rsidRDefault="0084082F" w:rsidP="00CD33EB">
            <w:pPr>
              <w:rPr>
                <w:b/>
                <w:bCs/>
                <w:color w:val="7F7F7F" w:themeColor="text1" w:themeTint="80"/>
                <w:sz w:val="22"/>
                <w:szCs w:val="22"/>
              </w:rPr>
            </w:pPr>
            <w:r w:rsidRPr="00760E0A">
              <w:rPr>
                <w:bCs/>
                <w:color w:val="000000" w:themeColor="text1"/>
                <w:sz w:val="22"/>
                <w:szCs w:val="22"/>
              </w:rPr>
              <w:t>Direct: Artifacts from the senior seminar capstone course final paper were collected from all students in the course (</w:t>
            </w:r>
            <w:r w:rsidRPr="00760E0A">
              <w:rPr>
                <w:bCs/>
                <w:i/>
                <w:iCs/>
                <w:color w:val="000000" w:themeColor="text1"/>
                <w:sz w:val="22"/>
                <w:szCs w:val="22"/>
              </w:rPr>
              <w:t>N</w:t>
            </w:r>
            <w:r w:rsidRPr="00760E0A">
              <w:rPr>
                <w:bCs/>
                <w:color w:val="000000" w:themeColor="text1"/>
                <w:sz w:val="22"/>
                <w:szCs w:val="22"/>
              </w:rPr>
              <w:t xml:space="preserve"> = </w:t>
            </w:r>
            <w:r w:rsidR="002E1C7B">
              <w:rPr>
                <w:bCs/>
                <w:color w:val="000000" w:themeColor="text1"/>
                <w:sz w:val="22"/>
                <w:szCs w:val="22"/>
              </w:rPr>
              <w:t>3</w:t>
            </w:r>
            <w:r w:rsidRPr="00760E0A">
              <w:rPr>
                <w:bCs/>
                <w:color w:val="000000" w:themeColor="text1"/>
                <w:sz w:val="22"/>
                <w:szCs w:val="22"/>
              </w:rPr>
              <w:t>) and all identifiers removed. All papers were assessed. The papers were split among two full-time faculty so that each paper was read twice by two different reviewers. In the event there was a notable difference in the score between the two faculty members, a third faculty member read the paper and the score</w:t>
            </w:r>
            <w:r w:rsidR="007503E9">
              <w:rPr>
                <w:bCs/>
                <w:color w:val="000000" w:themeColor="text1"/>
                <w:sz w:val="22"/>
                <w:szCs w:val="22"/>
              </w:rPr>
              <w:t>s</w:t>
            </w:r>
            <w:r w:rsidRPr="00760E0A">
              <w:rPr>
                <w:bCs/>
                <w:color w:val="000000" w:themeColor="text1"/>
                <w:sz w:val="22"/>
                <w:szCs w:val="22"/>
              </w:rPr>
              <w:t xml:space="preserve"> of all three readers w</w:t>
            </w:r>
            <w:r w:rsidR="007503E9">
              <w:rPr>
                <w:bCs/>
                <w:color w:val="000000" w:themeColor="text1"/>
                <w:sz w:val="22"/>
                <w:szCs w:val="22"/>
              </w:rPr>
              <w:t>ere</w:t>
            </w:r>
            <w:r w:rsidRPr="00760E0A">
              <w:rPr>
                <w:bCs/>
                <w:color w:val="000000" w:themeColor="text1"/>
                <w:sz w:val="22"/>
                <w:szCs w:val="22"/>
              </w:rPr>
              <w:t xml:space="preserve"> averaged. The rubric used for scoring was drawn from the Written Communication Leap VALUE Rubrics from AAC&amp;U</w:t>
            </w:r>
            <w:r w:rsidR="007503E9">
              <w:rPr>
                <w:bCs/>
                <w:color w:val="000000" w:themeColor="text1"/>
                <w:sz w:val="22"/>
                <w:szCs w:val="22"/>
              </w:rPr>
              <w:t xml:space="preserve"> (attached)</w:t>
            </w:r>
            <w:r w:rsidRPr="00760E0A">
              <w:rPr>
                <w:bCs/>
                <w:color w:val="000000" w:themeColor="text1"/>
                <w:sz w:val="22"/>
                <w:szCs w:val="22"/>
              </w:rPr>
              <w:t>.</w:t>
            </w:r>
            <w:r w:rsidRPr="00760E0A">
              <w:rPr>
                <w:color w:val="000000" w:themeColor="text1"/>
                <w:sz w:val="22"/>
                <w:szCs w:val="22"/>
              </w:rPr>
              <w:t xml:space="preserve"> Of the </w:t>
            </w:r>
            <w:r w:rsidR="002E1C7B">
              <w:rPr>
                <w:color w:val="000000" w:themeColor="text1"/>
                <w:sz w:val="22"/>
                <w:szCs w:val="22"/>
              </w:rPr>
              <w:t>three</w:t>
            </w:r>
            <w:r w:rsidRPr="00760E0A">
              <w:rPr>
                <w:color w:val="000000" w:themeColor="text1"/>
                <w:sz w:val="22"/>
                <w:szCs w:val="22"/>
              </w:rPr>
              <w:t xml:space="preserve"> papers assessed for this learning outcome, </w:t>
            </w:r>
            <w:r w:rsidR="002E1C7B">
              <w:rPr>
                <w:color w:val="000000" w:themeColor="text1"/>
                <w:sz w:val="22"/>
                <w:szCs w:val="22"/>
              </w:rPr>
              <w:t>two</w:t>
            </w:r>
            <w:r w:rsidRPr="00760E0A">
              <w:rPr>
                <w:color w:val="000000" w:themeColor="text1"/>
                <w:sz w:val="22"/>
                <w:szCs w:val="22"/>
              </w:rPr>
              <w:t xml:space="preserve"> achieved a score of </w:t>
            </w:r>
            <w:r w:rsidR="002E1C7B">
              <w:rPr>
                <w:color w:val="000000" w:themeColor="text1"/>
                <w:sz w:val="22"/>
                <w:szCs w:val="22"/>
              </w:rPr>
              <w:t>3 (upper milestone) and one a score of 4 (capstone)</w:t>
            </w:r>
            <w:r w:rsidRPr="00760E0A">
              <w:rPr>
                <w:color w:val="000000" w:themeColor="text1"/>
                <w:sz w:val="22"/>
                <w:szCs w:val="22"/>
              </w:rPr>
              <w:t>.</w:t>
            </w:r>
          </w:p>
        </w:tc>
      </w:tr>
      <w:tr w:rsidR="0084082F" w:rsidRPr="00760E0A" w14:paraId="6DF40DFF" w14:textId="77777777" w:rsidTr="00CD33EB">
        <w:tc>
          <w:tcPr>
            <w:tcW w:w="10615" w:type="dxa"/>
            <w:gridSpan w:val="4"/>
            <w:tcBorders>
              <w:top w:val="single" w:sz="4" w:space="0" w:color="auto"/>
              <w:bottom w:val="single" w:sz="4" w:space="0" w:color="auto"/>
            </w:tcBorders>
            <w:shd w:val="clear" w:color="auto" w:fill="auto"/>
            <w:tcMar>
              <w:top w:w="100" w:type="nil"/>
              <w:right w:w="100" w:type="nil"/>
            </w:tcMar>
          </w:tcPr>
          <w:p w14:paraId="61F1C5A9" w14:textId="77777777" w:rsidR="0084082F" w:rsidRPr="00760E0A" w:rsidRDefault="0084082F" w:rsidP="00CD33EB">
            <w:pPr>
              <w:widowControl w:val="0"/>
              <w:autoSpaceDE w:val="0"/>
              <w:autoSpaceDN w:val="0"/>
              <w:adjustRightInd w:val="0"/>
              <w:rPr>
                <w:b/>
                <w:bCs/>
                <w:sz w:val="22"/>
                <w:szCs w:val="22"/>
              </w:rPr>
            </w:pPr>
            <w:r w:rsidRPr="00760E0A">
              <w:rPr>
                <w:b/>
                <w:bCs/>
                <w:sz w:val="22"/>
                <w:szCs w:val="22"/>
              </w:rPr>
              <w:t>Based on your results, highlight whether the program met the goal Student Learning Outcome 1.</w:t>
            </w:r>
          </w:p>
          <w:p w14:paraId="1338DA09" w14:textId="77777777" w:rsidR="0084082F" w:rsidRPr="00760E0A" w:rsidRDefault="0084082F" w:rsidP="00CD33EB">
            <w:pPr>
              <w:widowControl w:val="0"/>
              <w:autoSpaceDE w:val="0"/>
              <w:autoSpaceDN w:val="0"/>
              <w:adjustRightInd w:val="0"/>
              <w:rPr>
                <w:b/>
                <w:sz w:val="22"/>
                <w:szCs w:val="22"/>
              </w:rPr>
            </w:pPr>
            <w:r w:rsidRPr="00760E0A">
              <w:rPr>
                <w:b/>
                <w:sz w:val="22"/>
                <w:szCs w:val="22"/>
              </w:rPr>
              <w:t xml:space="preserve"> </w:t>
            </w:r>
          </w:p>
        </w:tc>
        <w:tc>
          <w:tcPr>
            <w:tcW w:w="2610" w:type="dxa"/>
            <w:tcBorders>
              <w:top w:val="single" w:sz="4" w:space="0" w:color="auto"/>
              <w:bottom w:val="single" w:sz="4" w:space="0" w:color="auto"/>
            </w:tcBorders>
            <w:shd w:val="clear" w:color="auto" w:fill="auto"/>
            <w:vAlign w:val="center"/>
          </w:tcPr>
          <w:p w14:paraId="0711457E" w14:textId="77777777" w:rsidR="0084082F" w:rsidRPr="00760E0A" w:rsidRDefault="0084082F" w:rsidP="00CD33EB">
            <w:pPr>
              <w:widowControl w:val="0"/>
              <w:autoSpaceDE w:val="0"/>
              <w:autoSpaceDN w:val="0"/>
              <w:adjustRightInd w:val="0"/>
              <w:jc w:val="center"/>
              <w:rPr>
                <w:b/>
                <w:sz w:val="22"/>
                <w:szCs w:val="22"/>
                <w:highlight w:val="yellow"/>
                <w:u w:val="single"/>
              </w:rPr>
            </w:pPr>
            <w:r w:rsidRPr="00760E0A">
              <w:rPr>
                <w:b/>
                <w:sz w:val="22"/>
                <w:szCs w:val="22"/>
                <w:highlight w:val="yellow"/>
                <w:u w:val="single"/>
              </w:rPr>
              <w:t>Met</w:t>
            </w:r>
          </w:p>
        </w:tc>
        <w:tc>
          <w:tcPr>
            <w:tcW w:w="1170" w:type="dxa"/>
            <w:tcBorders>
              <w:top w:val="single" w:sz="4" w:space="0" w:color="auto"/>
              <w:bottom w:val="single" w:sz="4" w:space="0" w:color="auto"/>
            </w:tcBorders>
            <w:shd w:val="clear" w:color="auto" w:fill="auto"/>
            <w:vAlign w:val="center"/>
          </w:tcPr>
          <w:p w14:paraId="3CA3AB6B" w14:textId="77777777" w:rsidR="0084082F" w:rsidRPr="00760E0A" w:rsidRDefault="0084082F" w:rsidP="00CD33EB">
            <w:pPr>
              <w:widowControl w:val="0"/>
              <w:autoSpaceDE w:val="0"/>
              <w:autoSpaceDN w:val="0"/>
              <w:adjustRightInd w:val="0"/>
              <w:jc w:val="center"/>
              <w:rPr>
                <w:b/>
                <w:sz w:val="22"/>
                <w:szCs w:val="22"/>
              </w:rPr>
            </w:pPr>
            <w:r w:rsidRPr="00760E0A">
              <w:rPr>
                <w:b/>
                <w:sz w:val="22"/>
                <w:szCs w:val="22"/>
              </w:rPr>
              <w:t>Not Met</w:t>
            </w:r>
          </w:p>
        </w:tc>
      </w:tr>
      <w:tr w:rsidR="0084082F" w:rsidRPr="00760E0A" w14:paraId="499318FE" w14:textId="77777777" w:rsidTr="00CD33EB">
        <w:tc>
          <w:tcPr>
            <w:tcW w:w="14395" w:type="dxa"/>
            <w:gridSpan w:val="6"/>
            <w:shd w:val="pct12" w:color="auto" w:fill="auto"/>
            <w:tcMar>
              <w:top w:w="100" w:type="nil"/>
              <w:right w:w="100" w:type="nil"/>
            </w:tcMar>
          </w:tcPr>
          <w:p w14:paraId="46C9DF94" w14:textId="77777777" w:rsidR="0084082F" w:rsidRPr="00760E0A" w:rsidRDefault="0084082F" w:rsidP="00CD33EB">
            <w:pPr>
              <w:widowControl w:val="0"/>
              <w:autoSpaceDE w:val="0"/>
              <w:autoSpaceDN w:val="0"/>
              <w:adjustRightInd w:val="0"/>
              <w:rPr>
                <w:b/>
                <w:sz w:val="22"/>
                <w:szCs w:val="22"/>
              </w:rPr>
            </w:pPr>
            <w:r w:rsidRPr="00760E0A">
              <w:rPr>
                <w:b/>
                <w:sz w:val="22"/>
                <w:szCs w:val="22"/>
              </w:rPr>
              <w:t>Actions</w:t>
            </w:r>
          </w:p>
        </w:tc>
      </w:tr>
      <w:tr w:rsidR="0084082F" w:rsidRPr="00760E0A" w14:paraId="5352C889" w14:textId="77777777" w:rsidTr="00CD33EB">
        <w:trPr>
          <w:trHeight w:val="626"/>
        </w:trPr>
        <w:tc>
          <w:tcPr>
            <w:tcW w:w="14395" w:type="dxa"/>
            <w:gridSpan w:val="6"/>
            <w:shd w:val="pct12" w:color="auto" w:fill="auto"/>
            <w:tcMar>
              <w:top w:w="100" w:type="nil"/>
              <w:right w:w="100" w:type="nil"/>
            </w:tcMar>
          </w:tcPr>
          <w:p w14:paraId="2B329527" w14:textId="6FF7BC83" w:rsidR="0084082F" w:rsidRPr="00760E0A" w:rsidRDefault="0084082F" w:rsidP="00CD33EB">
            <w:pPr>
              <w:jc w:val="both"/>
              <w:rPr>
                <w:bCs/>
                <w:sz w:val="22"/>
                <w:szCs w:val="22"/>
              </w:rPr>
            </w:pPr>
            <w:r w:rsidRPr="00760E0A">
              <w:rPr>
                <w:bCs/>
                <w:sz w:val="22"/>
                <w:szCs w:val="22"/>
              </w:rPr>
              <w:t>After the assessment process, the two faculty members met to discuss the results</w:t>
            </w:r>
            <w:r w:rsidR="002E1C7B">
              <w:rPr>
                <w:bCs/>
                <w:sz w:val="22"/>
                <w:szCs w:val="22"/>
              </w:rPr>
              <w:t>.  Part of that discussion was devoted to whether we would like to change the SLOs for the upcoming year.  While the ARC program is currently in a transition, as the program moves to a new department and will have a new program coordinator, it was decided to return to the question of new SLOs in fall 2021.</w:t>
            </w:r>
            <w:r w:rsidRPr="00760E0A">
              <w:rPr>
                <w:bCs/>
                <w:sz w:val="22"/>
                <w:szCs w:val="22"/>
              </w:rPr>
              <w:t xml:space="preserve"> </w:t>
            </w:r>
          </w:p>
          <w:p w14:paraId="7C25DB16" w14:textId="77777777" w:rsidR="0084082F" w:rsidRPr="00760E0A" w:rsidRDefault="0084082F" w:rsidP="002E1C7B">
            <w:pPr>
              <w:jc w:val="both"/>
              <w:rPr>
                <w:b/>
                <w:sz w:val="22"/>
                <w:szCs w:val="22"/>
              </w:rPr>
            </w:pPr>
          </w:p>
        </w:tc>
      </w:tr>
      <w:tr w:rsidR="0084082F" w:rsidRPr="00760E0A" w14:paraId="2F8D5219" w14:textId="77777777" w:rsidTr="00CD33EB">
        <w:tc>
          <w:tcPr>
            <w:tcW w:w="14395" w:type="dxa"/>
            <w:gridSpan w:val="6"/>
            <w:shd w:val="clear" w:color="auto" w:fill="auto"/>
            <w:tcMar>
              <w:top w:w="100" w:type="nil"/>
              <w:right w:w="100" w:type="nil"/>
            </w:tcMar>
          </w:tcPr>
          <w:p w14:paraId="29E41F31" w14:textId="77777777" w:rsidR="0084082F" w:rsidRPr="00760E0A" w:rsidRDefault="0084082F" w:rsidP="00CD33EB">
            <w:pPr>
              <w:jc w:val="both"/>
              <w:rPr>
                <w:b/>
                <w:bCs/>
                <w:sz w:val="22"/>
                <w:szCs w:val="22"/>
              </w:rPr>
            </w:pPr>
            <w:r w:rsidRPr="00760E0A">
              <w:rPr>
                <w:b/>
                <w:bCs/>
                <w:sz w:val="22"/>
                <w:szCs w:val="22"/>
              </w:rPr>
              <w:t>Follow-Up</w:t>
            </w:r>
          </w:p>
        </w:tc>
      </w:tr>
      <w:tr w:rsidR="0084082F" w:rsidRPr="00760E0A" w14:paraId="643EA50E" w14:textId="77777777" w:rsidTr="00CD33EB">
        <w:tc>
          <w:tcPr>
            <w:tcW w:w="14395" w:type="dxa"/>
            <w:gridSpan w:val="6"/>
            <w:shd w:val="clear" w:color="auto" w:fill="auto"/>
            <w:tcMar>
              <w:top w:w="100" w:type="nil"/>
              <w:right w:w="100" w:type="nil"/>
            </w:tcMar>
          </w:tcPr>
          <w:p w14:paraId="5B9364DE" w14:textId="77777777" w:rsidR="0084082F" w:rsidRPr="00760E0A" w:rsidRDefault="0084082F" w:rsidP="00CD33EB">
            <w:pPr>
              <w:jc w:val="both"/>
              <w:rPr>
                <w:bCs/>
                <w:sz w:val="22"/>
                <w:szCs w:val="22"/>
              </w:rPr>
            </w:pPr>
          </w:p>
          <w:p w14:paraId="4091860B" w14:textId="4F21DD6E" w:rsidR="0084082F" w:rsidRPr="00760E0A" w:rsidRDefault="0084082F" w:rsidP="00CD33EB">
            <w:pPr>
              <w:pStyle w:val="ListParagraph"/>
              <w:numPr>
                <w:ilvl w:val="0"/>
                <w:numId w:val="1"/>
              </w:numPr>
              <w:spacing w:before="0" w:beforeAutospacing="0" w:after="0" w:afterAutospacing="0"/>
              <w:rPr>
                <w:color w:val="000000"/>
                <w:sz w:val="22"/>
                <w:szCs w:val="22"/>
              </w:rPr>
            </w:pPr>
            <w:r w:rsidRPr="00760E0A">
              <w:rPr>
                <w:color w:val="000000"/>
                <w:sz w:val="22"/>
                <w:szCs w:val="22"/>
              </w:rPr>
              <w:t xml:space="preserve">We have restructured ARC 499 </w:t>
            </w:r>
            <w:r w:rsidR="002E1C7B">
              <w:rPr>
                <w:color w:val="000000"/>
                <w:sz w:val="22"/>
                <w:szCs w:val="22"/>
              </w:rPr>
              <w:t xml:space="preserve">in 2019-2020 </w:t>
            </w:r>
            <w:r w:rsidRPr="00760E0A">
              <w:rPr>
                <w:color w:val="000000"/>
                <w:sz w:val="22"/>
                <w:szCs w:val="22"/>
              </w:rPr>
              <w:t>to focus on the necessary skills required for graduating students entering graduate program</w:t>
            </w:r>
            <w:r w:rsidR="007503E9">
              <w:rPr>
                <w:color w:val="000000"/>
                <w:sz w:val="22"/>
                <w:szCs w:val="22"/>
              </w:rPr>
              <w:t>s</w:t>
            </w:r>
            <w:r w:rsidRPr="00760E0A">
              <w:rPr>
                <w:color w:val="000000"/>
                <w:sz w:val="22"/>
                <w:szCs w:val="22"/>
              </w:rPr>
              <w:t xml:space="preserve"> and professional careers in Asian Studies and in Asian countries.</w:t>
            </w:r>
            <w:r w:rsidR="002E1C7B">
              <w:rPr>
                <w:color w:val="000000"/>
                <w:sz w:val="22"/>
                <w:szCs w:val="22"/>
              </w:rPr>
              <w:t xml:space="preserve">  More discussion will be devoted to this restructuring as many of our graduate students do not enter graduate programs.</w:t>
            </w:r>
          </w:p>
          <w:p w14:paraId="29D03554" w14:textId="551DED0E" w:rsidR="0084082F" w:rsidRPr="00760E0A" w:rsidRDefault="0084082F" w:rsidP="00CD33EB">
            <w:pPr>
              <w:pStyle w:val="ListParagraph"/>
              <w:numPr>
                <w:ilvl w:val="0"/>
                <w:numId w:val="1"/>
              </w:numPr>
              <w:spacing w:before="0" w:beforeAutospacing="0" w:after="0" w:afterAutospacing="0"/>
              <w:rPr>
                <w:color w:val="000000"/>
                <w:sz w:val="22"/>
                <w:szCs w:val="22"/>
              </w:rPr>
            </w:pPr>
            <w:r w:rsidRPr="00760E0A">
              <w:rPr>
                <w:color w:val="000000"/>
                <w:sz w:val="22"/>
                <w:szCs w:val="22"/>
              </w:rPr>
              <w:t xml:space="preserve">The revised version of ARC 499 </w:t>
            </w:r>
            <w:r w:rsidR="002E1C7B">
              <w:rPr>
                <w:color w:val="000000"/>
                <w:sz w:val="22"/>
                <w:szCs w:val="22"/>
              </w:rPr>
              <w:t>included</w:t>
            </w:r>
            <w:r w:rsidRPr="00760E0A">
              <w:rPr>
                <w:color w:val="000000"/>
                <w:sz w:val="22"/>
                <w:szCs w:val="22"/>
              </w:rPr>
              <w:t xml:space="preserve"> units on citation styles, research methods, academic publishing, </w:t>
            </w:r>
            <w:proofErr w:type="gramStart"/>
            <w:r w:rsidRPr="00760E0A">
              <w:rPr>
                <w:color w:val="000000"/>
                <w:sz w:val="22"/>
                <w:szCs w:val="22"/>
              </w:rPr>
              <w:t>theories</w:t>
            </w:r>
            <w:proofErr w:type="gramEnd"/>
            <w:r w:rsidRPr="00760E0A">
              <w:rPr>
                <w:color w:val="000000"/>
                <w:sz w:val="22"/>
                <w:szCs w:val="22"/>
              </w:rPr>
              <w:t xml:space="preserve"> and methods in graduate academic study, and writing for the professional and academic market.</w:t>
            </w:r>
            <w:r w:rsidRPr="00760E0A">
              <w:rPr>
                <w:rStyle w:val="apple-converted-space"/>
                <w:color w:val="000000"/>
                <w:sz w:val="22"/>
                <w:szCs w:val="22"/>
              </w:rPr>
              <w:t> </w:t>
            </w:r>
          </w:p>
          <w:p w14:paraId="339AAF7C" w14:textId="38439DB1" w:rsidR="0084082F" w:rsidRPr="00760E0A" w:rsidRDefault="0084082F" w:rsidP="00CD33EB">
            <w:pPr>
              <w:pStyle w:val="ListParagraph"/>
              <w:numPr>
                <w:ilvl w:val="0"/>
                <w:numId w:val="1"/>
              </w:numPr>
              <w:spacing w:before="0" w:beforeAutospacing="0" w:after="0" w:afterAutospacing="0"/>
              <w:rPr>
                <w:color w:val="000000"/>
                <w:sz w:val="22"/>
                <w:szCs w:val="22"/>
              </w:rPr>
            </w:pPr>
            <w:r w:rsidRPr="00760E0A">
              <w:rPr>
                <w:color w:val="000000"/>
                <w:sz w:val="22"/>
                <w:szCs w:val="22"/>
              </w:rPr>
              <w:t xml:space="preserve">The course </w:t>
            </w:r>
            <w:r w:rsidR="002E1C7B">
              <w:rPr>
                <w:color w:val="000000"/>
                <w:sz w:val="22"/>
                <w:szCs w:val="22"/>
              </w:rPr>
              <w:t>concluded</w:t>
            </w:r>
            <w:r w:rsidRPr="00760E0A">
              <w:rPr>
                <w:color w:val="000000"/>
                <w:sz w:val="22"/>
                <w:szCs w:val="22"/>
              </w:rPr>
              <w:t xml:space="preserve"> with a capstone-style assignment, e.g., a conference paper, which will be used as evidence for the changes we have made and their evaluation. </w:t>
            </w:r>
          </w:p>
          <w:p w14:paraId="504AE4F7" w14:textId="77777777" w:rsidR="0084082F" w:rsidRPr="00760E0A" w:rsidRDefault="0084082F" w:rsidP="00CD33EB">
            <w:pPr>
              <w:jc w:val="both"/>
              <w:rPr>
                <w:bCs/>
                <w:sz w:val="22"/>
                <w:szCs w:val="22"/>
              </w:rPr>
            </w:pPr>
          </w:p>
        </w:tc>
      </w:tr>
      <w:tr w:rsidR="0084082F" w:rsidRPr="00760E0A" w14:paraId="3A25AEC4" w14:textId="77777777" w:rsidTr="00CD33EB">
        <w:tc>
          <w:tcPr>
            <w:tcW w:w="14395" w:type="dxa"/>
            <w:gridSpan w:val="6"/>
            <w:shd w:val="clear" w:color="auto" w:fill="auto"/>
            <w:tcMar>
              <w:top w:w="100" w:type="nil"/>
              <w:right w:w="100" w:type="nil"/>
            </w:tcMar>
          </w:tcPr>
          <w:p w14:paraId="524EF54F" w14:textId="7A84CB2F" w:rsidR="0084082F" w:rsidRPr="002E1C7B" w:rsidRDefault="0084082F" w:rsidP="00CD33EB">
            <w:pPr>
              <w:jc w:val="both"/>
              <w:rPr>
                <w:color w:val="767171" w:themeColor="background2" w:themeShade="80"/>
                <w:sz w:val="22"/>
                <w:szCs w:val="22"/>
              </w:rPr>
            </w:pPr>
            <w:r w:rsidRPr="00760E0A">
              <w:rPr>
                <w:b/>
                <w:bCs/>
                <w:color w:val="000000" w:themeColor="text1"/>
                <w:sz w:val="22"/>
                <w:szCs w:val="22"/>
              </w:rPr>
              <w:t>Next Assessment Cycle Plan</w:t>
            </w:r>
            <w:r w:rsidR="002E1C7B">
              <w:rPr>
                <w:b/>
                <w:bCs/>
                <w:color w:val="000000" w:themeColor="text1"/>
                <w:sz w:val="22"/>
                <w:szCs w:val="22"/>
              </w:rPr>
              <w:t xml:space="preserve">: </w:t>
            </w:r>
            <w:r w:rsidR="002E1C7B">
              <w:rPr>
                <w:color w:val="000000" w:themeColor="text1"/>
                <w:sz w:val="22"/>
                <w:szCs w:val="22"/>
              </w:rPr>
              <w:t xml:space="preserve">As noted above, in fall 2021 the faculty will be meeting again to assess the SLOs and decide on possibly new skills for ARC graduates, as most do not enter graduate school. </w:t>
            </w:r>
          </w:p>
        </w:tc>
      </w:tr>
      <w:tr w:rsidR="0084082F" w:rsidRPr="00760E0A" w14:paraId="09488646" w14:textId="77777777" w:rsidTr="00CD33EB">
        <w:tc>
          <w:tcPr>
            <w:tcW w:w="14395" w:type="dxa"/>
            <w:gridSpan w:val="6"/>
            <w:shd w:val="clear" w:color="auto" w:fill="auto"/>
            <w:tcMar>
              <w:top w:w="100" w:type="nil"/>
              <w:right w:w="100" w:type="nil"/>
            </w:tcMar>
          </w:tcPr>
          <w:p w14:paraId="52AE7197" w14:textId="5373B778" w:rsidR="0084082F" w:rsidRPr="00760E0A" w:rsidRDefault="0084082F" w:rsidP="00CD33EB">
            <w:pPr>
              <w:jc w:val="both"/>
              <w:rPr>
                <w:bCs/>
                <w:sz w:val="22"/>
                <w:szCs w:val="22"/>
              </w:rPr>
            </w:pPr>
          </w:p>
        </w:tc>
      </w:tr>
    </w:tbl>
    <w:p w14:paraId="636A8FAC" w14:textId="77777777" w:rsidR="0084082F" w:rsidRDefault="0084082F" w:rsidP="0084082F">
      <w:pPr>
        <w:rPr>
          <w:b/>
          <w:bCs/>
          <w:sz w:val="22"/>
          <w:szCs w:val="22"/>
        </w:rPr>
      </w:pPr>
    </w:p>
    <w:p w14:paraId="3E53EBCB" w14:textId="07C31E35" w:rsidR="0084082F" w:rsidRPr="00074D57" w:rsidRDefault="0084082F" w:rsidP="0084082F">
      <w:pPr>
        <w:rPr>
          <w:b/>
          <w:bCs/>
          <w:sz w:val="22"/>
          <w:szCs w:val="22"/>
        </w:rPr>
      </w:pPr>
      <w:r w:rsidRPr="00760E0A">
        <w:rPr>
          <w:b/>
          <w:bCs/>
          <w:sz w:val="22"/>
          <w:szCs w:val="22"/>
        </w:rPr>
        <w:t xml:space="preserve">Rubric for Student Learning Outcome 1: </w:t>
      </w:r>
      <w:r w:rsidRPr="00760E0A">
        <w:rPr>
          <w:sz w:val="22"/>
          <w:szCs w:val="22"/>
        </w:rPr>
        <w:t>Students will be able to effectively collect and analyze evidence in the field of Asian religions and cultures in support of a position.</w:t>
      </w:r>
    </w:p>
    <w:p w14:paraId="3489A5B6" w14:textId="77777777" w:rsidR="0084082F" w:rsidRPr="00760E0A" w:rsidRDefault="0084082F" w:rsidP="0084082F">
      <w:pPr>
        <w:rPr>
          <w:sz w:val="22"/>
          <w:szCs w:val="22"/>
        </w:rPr>
      </w:pPr>
    </w:p>
    <w:tbl>
      <w:tblPr>
        <w:tblStyle w:val="TableGrid"/>
        <w:tblW w:w="14395" w:type="dxa"/>
        <w:tblLook w:val="04A0" w:firstRow="1" w:lastRow="0" w:firstColumn="1" w:lastColumn="0" w:noHBand="0" w:noVBand="1"/>
      </w:tblPr>
      <w:tblGrid>
        <w:gridCol w:w="3176"/>
        <w:gridCol w:w="2270"/>
        <w:gridCol w:w="3009"/>
        <w:gridCol w:w="2905"/>
        <w:gridCol w:w="3035"/>
      </w:tblGrid>
      <w:tr w:rsidR="0084082F" w:rsidRPr="00760E0A" w14:paraId="63233D36" w14:textId="77777777" w:rsidTr="00CD33EB">
        <w:tc>
          <w:tcPr>
            <w:tcW w:w="3176" w:type="dxa"/>
          </w:tcPr>
          <w:p w14:paraId="1FA6FE3A" w14:textId="77777777" w:rsidR="0084082F" w:rsidRPr="00760E0A" w:rsidRDefault="0084082F" w:rsidP="00CD33EB">
            <w:pPr>
              <w:rPr>
                <w:sz w:val="22"/>
                <w:szCs w:val="22"/>
              </w:rPr>
            </w:pPr>
          </w:p>
        </w:tc>
        <w:tc>
          <w:tcPr>
            <w:tcW w:w="2270" w:type="dxa"/>
          </w:tcPr>
          <w:p w14:paraId="6473B901" w14:textId="77777777" w:rsidR="0084082F" w:rsidRPr="00760E0A" w:rsidRDefault="0084082F" w:rsidP="00CD33EB">
            <w:pPr>
              <w:rPr>
                <w:sz w:val="22"/>
                <w:szCs w:val="22"/>
              </w:rPr>
            </w:pPr>
            <w:r w:rsidRPr="00760E0A">
              <w:rPr>
                <w:sz w:val="22"/>
                <w:szCs w:val="22"/>
              </w:rPr>
              <w:t>Capstone (4)</w:t>
            </w:r>
          </w:p>
        </w:tc>
        <w:tc>
          <w:tcPr>
            <w:tcW w:w="3009" w:type="dxa"/>
          </w:tcPr>
          <w:p w14:paraId="468D5592" w14:textId="77777777" w:rsidR="0084082F" w:rsidRPr="00760E0A" w:rsidRDefault="0084082F" w:rsidP="00CD33EB">
            <w:pPr>
              <w:rPr>
                <w:sz w:val="22"/>
                <w:szCs w:val="22"/>
              </w:rPr>
            </w:pPr>
            <w:r w:rsidRPr="00760E0A">
              <w:rPr>
                <w:sz w:val="22"/>
                <w:szCs w:val="22"/>
              </w:rPr>
              <w:t>Upper Milestone (3)</w:t>
            </w:r>
          </w:p>
        </w:tc>
        <w:tc>
          <w:tcPr>
            <w:tcW w:w="2905" w:type="dxa"/>
          </w:tcPr>
          <w:p w14:paraId="3718A5B2" w14:textId="77777777" w:rsidR="0084082F" w:rsidRPr="00760E0A" w:rsidRDefault="0084082F" w:rsidP="00CD33EB">
            <w:pPr>
              <w:rPr>
                <w:sz w:val="22"/>
                <w:szCs w:val="22"/>
              </w:rPr>
            </w:pPr>
            <w:r w:rsidRPr="00760E0A">
              <w:rPr>
                <w:sz w:val="22"/>
                <w:szCs w:val="22"/>
              </w:rPr>
              <w:t>Lower Milestone (2)</w:t>
            </w:r>
          </w:p>
        </w:tc>
        <w:tc>
          <w:tcPr>
            <w:tcW w:w="3035" w:type="dxa"/>
          </w:tcPr>
          <w:p w14:paraId="47996778" w14:textId="77777777" w:rsidR="0084082F" w:rsidRPr="00760E0A" w:rsidRDefault="0084082F" w:rsidP="00CD33EB">
            <w:pPr>
              <w:rPr>
                <w:sz w:val="22"/>
                <w:szCs w:val="22"/>
              </w:rPr>
            </w:pPr>
            <w:r w:rsidRPr="00760E0A">
              <w:rPr>
                <w:sz w:val="22"/>
                <w:szCs w:val="22"/>
              </w:rPr>
              <w:t>Benchmark (1)</w:t>
            </w:r>
          </w:p>
        </w:tc>
      </w:tr>
      <w:tr w:rsidR="0084082F" w:rsidRPr="00760E0A" w14:paraId="2E13A656" w14:textId="77777777" w:rsidTr="00CD33EB">
        <w:tc>
          <w:tcPr>
            <w:tcW w:w="3176" w:type="dxa"/>
          </w:tcPr>
          <w:p w14:paraId="59F0198E" w14:textId="77777777" w:rsidR="0084082F" w:rsidRPr="00760E0A" w:rsidRDefault="0084082F" w:rsidP="00CD33EB">
            <w:pPr>
              <w:rPr>
                <w:sz w:val="22"/>
                <w:szCs w:val="22"/>
              </w:rPr>
            </w:pPr>
            <w:r w:rsidRPr="00760E0A">
              <w:rPr>
                <w:sz w:val="22"/>
                <w:szCs w:val="22"/>
              </w:rPr>
              <w:t>Topic selection</w:t>
            </w:r>
          </w:p>
        </w:tc>
        <w:tc>
          <w:tcPr>
            <w:tcW w:w="2270" w:type="dxa"/>
          </w:tcPr>
          <w:p w14:paraId="6B114DBA" w14:textId="77777777" w:rsidR="0084082F" w:rsidRPr="00760E0A" w:rsidRDefault="0084082F" w:rsidP="00CD33EB">
            <w:pPr>
              <w:rPr>
                <w:sz w:val="22"/>
                <w:szCs w:val="22"/>
              </w:rPr>
            </w:pPr>
            <w:r w:rsidRPr="00760E0A">
              <w:rPr>
                <w:sz w:val="22"/>
                <w:szCs w:val="22"/>
              </w:rPr>
              <w:t>Identifies a creative, focused, and manageable topic within the study of Asian religions and cultures that addresses potentially significant aspects of the topic.</w:t>
            </w:r>
          </w:p>
        </w:tc>
        <w:tc>
          <w:tcPr>
            <w:tcW w:w="3009" w:type="dxa"/>
          </w:tcPr>
          <w:p w14:paraId="11DFBD0D" w14:textId="77777777" w:rsidR="0084082F" w:rsidRPr="00760E0A" w:rsidRDefault="0084082F" w:rsidP="00CD33EB">
            <w:pPr>
              <w:rPr>
                <w:sz w:val="22"/>
                <w:szCs w:val="22"/>
              </w:rPr>
            </w:pPr>
            <w:r w:rsidRPr="00760E0A">
              <w:rPr>
                <w:sz w:val="22"/>
                <w:szCs w:val="22"/>
              </w:rPr>
              <w:t xml:space="preserve">Identifies a focused and manageable/doable topic within the study of Asian religions and cultures that appropriately addresses relevant aspects of the topic. </w:t>
            </w:r>
          </w:p>
        </w:tc>
        <w:tc>
          <w:tcPr>
            <w:tcW w:w="2905" w:type="dxa"/>
          </w:tcPr>
          <w:p w14:paraId="4F646587" w14:textId="77777777" w:rsidR="0084082F" w:rsidRPr="00760E0A" w:rsidRDefault="0084082F" w:rsidP="00CD33EB">
            <w:pPr>
              <w:rPr>
                <w:sz w:val="22"/>
                <w:szCs w:val="22"/>
              </w:rPr>
            </w:pPr>
            <w:r w:rsidRPr="00760E0A">
              <w:rPr>
                <w:sz w:val="22"/>
                <w:szCs w:val="22"/>
              </w:rPr>
              <w:t xml:space="preserve">Identifies a topic within the study of Asian religions and cultures that while manageable/doable, is too narrowly focused and leaves out relevant aspects of the topic. </w:t>
            </w:r>
          </w:p>
        </w:tc>
        <w:tc>
          <w:tcPr>
            <w:tcW w:w="3035" w:type="dxa"/>
          </w:tcPr>
          <w:p w14:paraId="5997C2A9" w14:textId="77777777" w:rsidR="0084082F" w:rsidRPr="00760E0A" w:rsidRDefault="0084082F" w:rsidP="00CD33EB">
            <w:pPr>
              <w:rPr>
                <w:sz w:val="22"/>
                <w:szCs w:val="22"/>
              </w:rPr>
            </w:pPr>
            <w:r w:rsidRPr="00760E0A">
              <w:rPr>
                <w:sz w:val="22"/>
                <w:szCs w:val="22"/>
              </w:rPr>
              <w:t>Identifies a topic within the study of Asian religions and cultures that is far too general and wide-ranging as to be manageable and doable.</w:t>
            </w:r>
          </w:p>
        </w:tc>
      </w:tr>
      <w:tr w:rsidR="0084082F" w:rsidRPr="00760E0A" w14:paraId="10D21B68" w14:textId="77777777" w:rsidTr="00CD33EB">
        <w:tc>
          <w:tcPr>
            <w:tcW w:w="3176" w:type="dxa"/>
          </w:tcPr>
          <w:p w14:paraId="42E0FC05" w14:textId="77777777" w:rsidR="0084082F" w:rsidRPr="00760E0A" w:rsidRDefault="0084082F" w:rsidP="00CD33EB">
            <w:pPr>
              <w:rPr>
                <w:sz w:val="22"/>
                <w:szCs w:val="22"/>
              </w:rPr>
            </w:pPr>
            <w:r w:rsidRPr="00760E0A">
              <w:rPr>
                <w:sz w:val="22"/>
                <w:szCs w:val="22"/>
              </w:rPr>
              <w:t xml:space="preserve">Existing Knowledge, Research, and/or Views </w:t>
            </w:r>
          </w:p>
        </w:tc>
        <w:tc>
          <w:tcPr>
            <w:tcW w:w="2270" w:type="dxa"/>
          </w:tcPr>
          <w:p w14:paraId="4C31304B" w14:textId="77777777" w:rsidR="0084082F" w:rsidRPr="00760E0A" w:rsidRDefault="0084082F" w:rsidP="00CD33EB">
            <w:pPr>
              <w:rPr>
                <w:sz w:val="22"/>
                <w:szCs w:val="22"/>
              </w:rPr>
            </w:pPr>
            <w:r w:rsidRPr="00760E0A">
              <w:rPr>
                <w:sz w:val="22"/>
                <w:szCs w:val="22"/>
              </w:rPr>
              <w:t xml:space="preserve">Synthesizes in-depth information from relevant sources representing various points of view/approaches. </w:t>
            </w:r>
          </w:p>
        </w:tc>
        <w:tc>
          <w:tcPr>
            <w:tcW w:w="3009" w:type="dxa"/>
          </w:tcPr>
          <w:p w14:paraId="16169D57" w14:textId="77777777" w:rsidR="0084082F" w:rsidRPr="00760E0A" w:rsidRDefault="0084082F" w:rsidP="00CD33EB">
            <w:pPr>
              <w:rPr>
                <w:sz w:val="22"/>
                <w:szCs w:val="22"/>
              </w:rPr>
            </w:pPr>
            <w:r w:rsidRPr="00760E0A">
              <w:rPr>
                <w:sz w:val="22"/>
                <w:szCs w:val="22"/>
              </w:rPr>
              <w:t xml:space="preserve">Presents in-depth information from relevant sources representing various points of view/approaches. </w:t>
            </w:r>
          </w:p>
        </w:tc>
        <w:tc>
          <w:tcPr>
            <w:tcW w:w="2905" w:type="dxa"/>
          </w:tcPr>
          <w:p w14:paraId="7C9EE240" w14:textId="77777777" w:rsidR="0084082F" w:rsidRPr="00760E0A" w:rsidRDefault="0084082F" w:rsidP="00CD33EB">
            <w:pPr>
              <w:rPr>
                <w:sz w:val="22"/>
                <w:szCs w:val="22"/>
              </w:rPr>
            </w:pPr>
            <w:r w:rsidRPr="00760E0A">
              <w:rPr>
                <w:sz w:val="22"/>
                <w:szCs w:val="22"/>
              </w:rPr>
              <w:t xml:space="preserve">Presents information from relevant sources representing limited points of view/approaches. </w:t>
            </w:r>
          </w:p>
        </w:tc>
        <w:tc>
          <w:tcPr>
            <w:tcW w:w="3035" w:type="dxa"/>
          </w:tcPr>
          <w:p w14:paraId="765AB4AC" w14:textId="77777777" w:rsidR="0084082F" w:rsidRPr="00760E0A" w:rsidRDefault="0084082F" w:rsidP="00CD33EB">
            <w:pPr>
              <w:rPr>
                <w:sz w:val="22"/>
                <w:szCs w:val="22"/>
              </w:rPr>
            </w:pPr>
            <w:r w:rsidRPr="00760E0A">
              <w:rPr>
                <w:sz w:val="22"/>
                <w:szCs w:val="22"/>
              </w:rPr>
              <w:t>Presents information from irrelevant sources representing limited points of view/approaches.</w:t>
            </w:r>
          </w:p>
        </w:tc>
      </w:tr>
      <w:tr w:rsidR="0084082F" w:rsidRPr="00760E0A" w14:paraId="5E74AB47" w14:textId="77777777" w:rsidTr="00CD33EB">
        <w:tc>
          <w:tcPr>
            <w:tcW w:w="3176" w:type="dxa"/>
          </w:tcPr>
          <w:p w14:paraId="67720E11" w14:textId="77777777" w:rsidR="0084082F" w:rsidRPr="00760E0A" w:rsidRDefault="0084082F" w:rsidP="00CD33EB">
            <w:pPr>
              <w:rPr>
                <w:sz w:val="22"/>
                <w:szCs w:val="22"/>
              </w:rPr>
            </w:pPr>
            <w:r w:rsidRPr="00760E0A">
              <w:rPr>
                <w:sz w:val="22"/>
                <w:szCs w:val="22"/>
              </w:rPr>
              <w:t>Analysis</w:t>
            </w:r>
          </w:p>
          <w:p w14:paraId="1D927F3D" w14:textId="77777777" w:rsidR="0084082F" w:rsidRPr="00760E0A" w:rsidRDefault="0084082F" w:rsidP="00CD33EB">
            <w:pPr>
              <w:rPr>
                <w:sz w:val="22"/>
                <w:szCs w:val="22"/>
              </w:rPr>
            </w:pPr>
          </w:p>
        </w:tc>
        <w:tc>
          <w:tcPr>
            <w:tcW w:w="2270" w:type="dxa"/>
          </w:tcPr>
          <w:p w14:paraId="18281191" w14:textId="77777777" w:rsidR="0084082F" w:rsidRPr="00760E0A" w:rsidRDefault="0084082F" w:rsidP="00CD33EB">
            <w:pPr>
              <w:rPr>
                <w:sz w:val="22"/>
                <w:szCs w:val="22"/>
              </w:rPr>
            </w:pPr>
            <w:r w:rsidRPr="00760E0A">
              <w:rPr>
                <w:sz w:val="22"/>
                <w:szCs w:val="22"/>
              </w:rPr>
              <w:t xml:space="preserve">Organizes and synthesizes evidence to reveal insightful patterns, differences, or similarities related to focus. </w:t>
            </w:r>
          </w:p>
        </w:tc>
        <w:tc>
          <w:tcPr>
            <w:tcW w:w="3009" w:type="dxa"/>
          </w:tcPr>
          <w:p w14:paraId="5436A950" w14:textId="77777777" w:rsidR="0084082F" w:rsidRPr="00760E0A" w:rsidRDefault="0084082F" w:rsidP="00CD33EB">
            <w:pPr>
              <w:rPr>
                <w:sz w:val="22"/>
                <w:szCs w:val="22"/>
              </w:rPr>
            </w:pPr>
            <w:r w:rsidRPr="00760E0A">
              <w:rPr>
                <w:sz w:val="22"/>
                <w:szCs w:val="22"/>
              </w:rPr>
              <w:t xml:space="preserve">Organizes evidence to reveal important patterns, differences, or similarities related to focus. </w:t>
            </w:r>
          </w:p>
        </w:tc>
        <w:tc>
          <w:tcPr>
            <w:tcW w:w="2905" w:type="dxa"/>
          </w:tcPr>
          <w:p w14:paraId="500A4066" w14:textId="77777777" w:rsidR="0084082F" w:rsidRPr="00760E0A" w:rsidRDefault="0084082F" w:rsidP="00CD33EB">
            <w:pPr>
              <w:rPr>
                <w:sz w:val="22"/>
                <w:szCs w:val="22"/>
              </w:rPr>
            </w:pPr>
            <w:r w:rsidRPr="00760E0A">
              <w:rPr>
                <w:sz w:val="22"/>
                <w:szCs w:val="22"/>
              </w:rPr>
              <w:t xml:space="preserve">Organizes evidence, but the organization is not effective in revealing important patterns, differences, or similarities. </w:t>
            </w:r>
          </w:p>
        </w:tc>
        <w:tc>
          <w:tcPr>
            <w:tcW w:w="3035" w:type="dxa"/>
          </w:tcPr>
          <w:p w14:paraId="345556D5" w14:textId="77777777" w:rsidR="0084082F" w:rsidRPr="00760E0A" w:rsidRDefault="0084082F" w:rsidP="00CD33EB">
            <w:pPr>
              <w:rPr>
                <w:sz w:val="22"/>
                <w:szCs w:val="22"/>
              </w:rPr>
            </w:pPr>
            <w:proofErr w:type="gramStart"/>
            <w:r w:rsidRPr="00760E0A">
              <w:rPr>
                <w:sz w:val="22"/>
                <w:szCs w:val="22"/>
              </w:rPr>
              <w:t>Lists</w:t>
            </w:r>
            <w:proofErr w:type="gramEnd"/>
            <w:r w:rsidRPr="00760E0A">
              <w:rPr>
                <w:sz w:val="22"/>
                <w:szCs w:val="22"/>
              </w:rPr>
              <w:t xml:space="preserve"> evidence, but it is not organized and/or is unrelated to focus.</w:t>
            </w:r>
          </w:p>
          <w:p w14:paraId="48F0F1AF" w14:textId="77777777" w:rsidR="0084082F" w:rsidRPr="00760E0A" w:rsidRDefault="0084082F" w:rsidP="00CD33EB">
            <w:pPr>
              <w:rPr>
                <w:sz w:val="22"/>
                <w:szCs w:val="22"/>
              </w:rPr>
            </w:pPr>
          </w:p>
        </w:tc>
      </w:tr>
      <w:tr w:rsidR="0084082F" w:rsidRPr="00760E0A" w14:paraId="2D5FA8FF" w14:textId="77777777" w:rsidTr="00CD33EB">
        <w:tc>
          <w:tcPr>
            <w:tcW w:w="3176" w:type="dxa"/>
          </w:tcPr>
          <w:p w14:paraId="3CDBA16E" w14:textId="77777777" w:rsidR="0084082F" w:rsidRPr="00760E0A" w:rsidRDefault="0084082F" w:rsidP="00CD33EB">
            <w:pPr>
              <w:rPr>
                <w:sz w:val="22"/>
                <w:szCs w:val="22"/>
              </w:rPr>
            </w:pPr>
            <w:r w:rsidRPr="00760E0A">
              <w:rPr>
                <w:sz w:val="22"/>
                <w:szCs w:val="22"/>
              </w:rPr>
              <w:t>Conclusion</w:t>
            </w:r>
          </w:p>
        </w:tc>
        <w:tc>
          <w:tcPr>
            <w:tcW w:w="2270" w:type="dxa"/>
          </w:tcPr>
          <w:p w14:paraId="50CCBC3F" w14:textId="77777777" w:rsidR="0084082F" w:rsidRPr="00760E0A" w:rsidRDefault="0084082F" w:rsidP="00CD33EB">
            <w:pPr>
              <w:rPr>
                <w:sz w:val="22"/>
                <w:szCs w:val="22"/>
              </w:rPr>
            </w:pPr>
            <w:r w:rsidRPr="00760E0A">
              <w:rPr>
                <w:sz w:val="22"/>
                <w:szCs w:val="22"/>
              </w:rPr>
              <w:t xml:space="preserve">States a conclusion that is a logical extrapolation from the inquiry findings. </w:t>
            </w:r>
          </w:p>
        </w:tc>
        <w:tc>
          <w:tcPr>
            <w:tcW w:w="3009" w:type="dxa"/>
          </w:tcPr>
          <w:p w14:paraId="595E9B12" w14:textId="77777777" w:rsidR="0084082F" w:rsidRPr="00760E0A" w:rsidRDefault="0084082F" w:rsidP="00CD33EB">
            <w:pPr>
              <w:rPr>
                <w:sz w:val="22"/>
                <w:szCs w:val="22"/>
              </w:rPr>
            </w:pPr>
            <w:r w:rsidRPr="00760E0A">
              <w:rPr>
                <w:sz w:val="22"/>
                <w:szCs w:val="22"/>
              </w:rPr>
              <w:t xml:space="preserve">The conclusion arises specifically from and responds specifically to the inquiry findings. </w:t>
            </w:r>
          </w:p>
        </w:tc>
        <w:tc>
          <w:tcPr>
            <w:tcW w:w="2905" w:type="dxa"/>
          </w:tcPr>
          <w:p w14:paraId="1D6FE7BE" w14:textId="77777777" w:rsidR="0084082F" w:rsidRPr="00760E0A" w:rsidRDefault="0084082F" w:rsidP="00CD33EB">
            <w:pPr>
              <w:rPr>
                <w:sz w:val="22"/>
                <w:szCs w:val="22"/>
              </w:rPr>
            </w:pPr>
            <w:r w:rsidRPr="00760E0A">
              <w:rPr>
                <w:sz w:val="22"/>
                <w:szCs w:val="22"/>
              </w:rPr>
              <w:t xml:space="preserve">States a general conclusion that, because it is so general, also applies beyond the scope of the inquiry findings. </w:t>
            </w:r>
          </w:p>
        </w:tc>
        <w:tc>
          <w:tcPr>
            <w:tcW w:w="3035" w:type="dxa"/>
          </w:tcPr>
          <w:p w14:paraId="691A3492" w14:textId="77777777" w:rsidR="0084082F" w:rsidRPr="00760E0A" w:rsidRDefault="0084082F" w:rsidP="00CD33EB">
            <w:pPr>
              <w:rPr>
                <w:sz w:val="22"/>
                <w:szCs w:val="22"/>
              </w:rPr>
            </w:pPr>
            <w:r w:rsidRPr="00760E0A">
              <w:rPr>
                <w:sz w:val="22"/>
                <w:szCs w:val="22"/>
              </w:rPr>
              <w:t>States an ambiguous, illogical, or unsupportable conclusion from inquiry findings.</w:t>
            </w:r>
          </w:p>
        </w:tc>
      </w:tr>
    </w:tbl>
    <w:p w14:paraId="49E2FDF3" w14:textId="77777777" w:rsidR="0084082F" w:rsidRPr="00760E0A" w:rsidRDefault="0084082F" w:rsidP="0084082F">
      <w:pPr>
        <w:rPr>
          <w:sz w:val="22"/>
          <w:szCs w:val="22"/>
        </w:rPr>
      </w:pPr>
    </w:p>
    <w:p w14:paraId="24353FC7" w14:textId="77777777" w:rsidR="0084082F" w:rsidRPr="00760E0A" w:rsidRDefault="0084082F" w:rsidP="0084082F">
      <w:pPr>
        <w:rPr>
          <w:sz w:val="22"/>
          <w:szCs w:val="22"/>
        </w:rPr>
      </w:pPr>
      <w:r w:rsidRPr="00760E0A">
        <w:rPr>
          <w:sz w:val="22"/>
          <w:szCs w:val="22"/>
        </w:rPr>
        <w:br w:type="page"/>
      </w:r>
    </w:p>
    <w:p w14:paraId="1A21730D" w14:textId="77777777" w:rsidR="002E1C7B" w:rsidRPr="00760E0A" w:rsidRDefault="002E1C7B" w:rsidP="002E1C7B">
      <w:pPr>
        <w:rPr>
          <w:sz w:val="22"/>
          <w:szCs w:val="22"/>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1350"/>
        <w:gridCol w:w="1170"/>
      </w:tblGrid>
      <w:tr w:rsidR="002E1C7B" w:rsidRPr="00760E0A" w14:paraId="23E69925" w14:textId="77777777" w:rsidTr="00CD33EB">
        <w:trPr>
          <w:trHeight w:val="144"/>
        </w:trPr>
        <w:tc>
          <w:tcPr>
            <w:tcW w:w="14395" w:type="dxa"/>
            <w:gridSpan w:val="6"/>
            <w:shd w:val="pct10" w:color="auto" w:fill="auto"/>
            <w:tcMar>
              <w:top w:w="100" w:type="nil"/>
              <w:right w:w="100" w:type="nil"/>
            </w:tcMar>
          </w:tcPr>
          <w:p w14:paraId="10478C86" w14:textId="77777777" w:rsidR="002E1C7B" w:rsidRPr="00760E0A" w:rsidRDefault="002E1C7B" w:rsidP="00CD33EB">
            <w:pPr>
              <w:widowControl w:val="0"/>
              <w:autoSpaceDE w:val="0"/>
              <w:autoSpaceDN w:val="0"/>
              <w:adjustRightInd w:val="0"/>
              <w:jc w:val="center"/>
              <w:rPr>
                <w:b/>
                <w:bCs/>
                <w:sz w:val="22"/>
                <w:szCs w:val="22"/>
              </w:rPr>
            </w:pPr>
            <w:r w:rsidRPr="00760E0A">
              <w:rPr>
                <w:b/>
                <w:bCs/>
                <w:sz w:val="22"/>
                <w:szCs w:val="22"/>
              </w:rPr>
              <w:t>Student Learning Outcome 2</w:t>
            </w:r>
          </w:p>
        </w:tc>
      </w:tr>
      <w:tr w:rsidR="002E1C7B" w:rsidRPr="00760E0A" w14:paraId="0213A294" w14:textId="77777777" w:rsidTr="00CD33EB">
        <w:trPr>
          <w:trHeight w:val="323"/>
        </w:trPr>
        <w:tc>
          <w:tcPr>
            <w:tcW w:w="2875" w:type="dxa"/>
            <w:tcBorders>
              <w:bottom w:val="single" w:sz="4" w:space="0" w:color="auto"/>
            </w:tcBorders>
            <w:shd w:val="clear" w:color="auto" w:fill="auto"/>
            <w:tcMar>
              <w:top w:w="100" w:type="nil"/>
              <w:right w:w="100" w:type="nil"/>
            </w:tcMar>
          </w:tcPr>
          <w:p w14:paraId="608DD736" w14:textId="77777777" w:rsidR="002E1C7B" w:rsidRPr="00760E0A" w:rsidRDefault="002E1C7B" w:rsidP="00CD33EB">
            <w:pPr>
              <w:widowControl w:val="0"/>
              <w:autoSpaceDE w:val="0"/>
              <w:autoSpaceDN w:val="0"/>
              <w:adjustRightInd w:val="0"/>
              <w:rPr>
                <w:b/>
                <w:bCs/>
                <w:sz w:val="22"/>
                <w:szCs w:val="22"/>
              </w:rPr>
            </w:pPr>
            <w:r w:rsidRPr="00760E0A">
              <w:rPr>
                <w:b/>
                <w:bCs/>
                <w:sz w:val="22"/>
                <w:szCs w:val="22"/>
              </w:rPr>
              <w:t xml:space="preserve">Student Learning Outcome </w:t>
            </w:r>
          </w:p>
        </w:tc>
        <w:tc>
          <w:tcPr>
            <w:tcW w:w="11520" w:type="dxa"/>
            <w:gridSpan w:val="5"/>
            <w:tcBorders>
              <w:bottom w:val="single" w:sz="4" w:space="0" w:color="auto"/>
            </w:tcBorders>
            <w:shd w:val="clear" w:color="auto" w:fill="auto"/>
            <w:tcMar>
              <w:top w:w="100" w:type="nil"/>
              <w:right w:w="100" w:type="nil"/>
            </w:tcMar>
          </w:tcPr>
          <w:p w14:paraId="3C862A5A" w14:textId="77777777" w:rsidR="002E1C7B" w:rsidRPr="00760E0A" w:rsidRDefault="002E1C7B" w:rsidP="00CD33EB">
            <w:pPr>
              <w:widowControl w:val="0"/>
              <w:autoSpaceDE w:val="0"/>
              <w:autoSpaceDN w:val="0"/>
              <w:adjustRightInd w:val="0"/>
              <w:rPr>
                <w:bCs/>
                <w:color w:val="767171" w:themeColor="background2" w:themeShade="80"/>
                <w:sz w:val="22"/>
                <w:szCs w:val="22"/>
              </w:rPr>
            </w:pPr>
            <w:r w:rsidRPr="00760E0A">
              <w:rPr>
                <w:sz w:val="22"/>
                <w:szCs w:val="22"/>
              </w:rPr>
              <w:t>Students will be able to demonstrate effective written communication skills appropriate to the field of Asian religions and cultures.</w:t>
            </w:r>
          </w:p>
        </w:tc>
      </w:tr>
      <w:tr w:rsidR="002E1C7B" w:rsidRPr="00760E0A" w14:paraId="5DF62949" w14:textId="77777777" w:rsidTr="00CD33EB">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4650C01D" w14:textId="77777777" w:rsidR="002E1C7B" w:rsidRPr="00760E0A" w:rsidRDefault="002E1C7B" w:rsidP="00CD33EB">
            <w:pPr>
              <w:widowControl w:val="0"/>
              <w:autoSpaceDE w:val="0"/>
              <w:autoSpaceDN w:val="0"/>
              <w:adjustRightInd w:val="0"/>
              <w:rPr>
                <w:bCs/>
                <w:sz w:val="22"/>
                <w:szCs w:val="22"/>
              </w:rPr>
            </w:pPr>
            <w:r w:rsidRPr="00760E0A">
              <w:rPr>
                <w:b/>
                <w:bCs/>
                <w:sz w:val="22"/>
                <w:szCs w:val="22"/>
              </w:rPr>
              <w:t>Measurement Instrument 1</w:t>
            </w: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22E6E2CB" w14:textId="77777777" w:rsidR="002E1C7B" w:rsidRPr="00760E0A" w:rsidRDefault="002E1C7B" w:rsidP="00CD33EB">
            <w:pPr>
              <w:widowControl w:val="0"/>
              <w:autoSpaceDE w:val="0"/>
              <w:autoSpaceDN w:val="0"/>
              <w:adjustRightInd w:val="0"/>
              <w:rPr>
                <w:b/>
                <w:bCs/>
                <w:sz w:val="22"/>
                <w:szCs w:val="22"/>
              </w:rPr>
            </w:pPr>
            <w:r w:rsidRPr="00760E0A">
              <w:rPr>
                <w:sz w:val="22"/>
                <w:szCs w:val="22"/>
              </w:rPr>
              <w:t>Direct: Analysis of Senior Seminar papers</w:t>
            </w:r>
          </w:p>
          <w:p w14:paraId="0E975074" w14:textId="77777777" w:rsidR="002E1C7B" w:rsidRPr="00760E0A" w:rsidRDefault="002E1C7B" w:rsidP="00CD33EB">
            <w:pPr>
              <w:widowControl w:val="0"/>
              <w:autoSpaceDE w:val="0"/>
              <w:autoSpaceDN w:val="0"/>
              <w:adjustRightInd w:val="0"/>
              <w:rPr>
                <w:b/>
                <w:bCs/>
                <w:sz w:val="22"/>
                <w:szCs w:val="22"/>
              </w:rPr>
            </w:pPr>
          </w:p>
        </w:tc>
      </w:tr>
      <w:tr w:rsidR="002E1C7B" w:rsidRPr="00760E0A" w14:paraId="0434C1A0" w14:textId="77777777" w:rsidTr="00CD33EB">
        <w:tc>
          <w:tcPr>
            <w:tcW w:w="2875" w:type="dxa"/>
            <w:tcBorders>
              <w:left w:val="single" w:sz="4" w:space="0" w:color="auto"/>
            </w:tcBorders>
            <w:shd w:val="pct12" w:color="auto" w:fill="auto"/>
            <w:tcMar>
              <w:top w:w="100" w:type="nil"/>
              <w:right w:w="100" w:type="nil"/>
            </w:tcMar>
          </w:tcPr>
          <w:p w14:paraId="479AC9BC" w14:textId="77777777" w:rsidR="002E1C7B" w:rsidRPr="00760E0A" w:rsidRDefault="002E1C7B" w:rsidP="00CD33EB">
            <w:pPr>
              <w:widowControl w:val="0"/>
              <w:autoSpaceDE w:val="0"/>
              <w:autoSpaceDN w:val="0"/>
              <w:adjustRightInd w:val="0"/>
              <w:rPr>
                <w:b/>
                <w:sz w:val="22"/>
                <w:szCs w:val="22"/>
              </w:rPr>
            </w:pPr>
            <w:r w:rsidRPr="00760E0A">
              <w:rPr>
                <w:b/>
                <w:sz w:val="22"/>
                <w:szCs w:val="22"/>
              </w:rPr>
              <w:t>Criteria for Student Success</w:t>
            </w:r>
          </w:p>
        </w:tc>
        <w:tc>
          <w:tcPr>
            <w:tcW w:w="11520" w:type="dxa"/>
            <w:gridSpan w:val="5"/>
            <w:tcBorders>
              <w:right w:val="single" w:sz="4" w:space="0" w:color="auto"/>
            </w:tcBorders>
            <w:shd w:val="pct12" w:color="auto" w:fill="auto"/>
            <w:tcMar>
              <w:top w:w="100" w:type="nil"/>
              <w:right w:w="100" w:type="nil"/>
            </w:tcMar>
          </w:tcPr>
          <w:p w14:paraId="183A0093" w14:textId="77777777" w:rsidR="002E1C7B" w:rsidRPr="00760E0A" w:rsidRDefault="002E1C7B" w:rsidP="00CD33EB">
            <w:pPr>
              <w:widowControl w:val="0"/>
              <w:autoSpaceDE w:val="0"/>
              <w:autoSpaceDN w:val="0"/>
              <w:adjustRightInd w:val="0"/>
              <w:rPr>
                <w:color w:val="767171" w:themeColor="background2" w:themeShade="80"/>
                <w:sz w:val="22"/>
                <w:szCs w:val="22"/>
              </w:rPr>
            </w:pPr>
            <w:r w:rsidRPr="00760E0A">
              <w:rPr>
                <w:sz w:val="22"/>
                <w:szCs w:val="22"/>
              </w:rPr>
              <w:t>Drawing from AAC&amp;U VALUES rubric for Written Communication, criteria for student success is capstone level or upper milestone level with respect to content development, sources and evidence, and control of syntax and mechanics.</w:t>
            </w:r>
          </w:p>
        </w:tc>
      </w:tr>
      <w:tr w:rsidR="002E1C7B" w:rsidRPr="00760E0A" w14:paraId="5B95732E" w14:textId="77777777" w:rsidTr="00CD33EB">
        <w:tc>
          <w:tcPr>
            <w:tcW w:w="4315" w:type="dxa"/>
            <w:gridSpan w:val="2"/>
            <w:tcBorders>
              <w:left w:val="single" w:sz="4" w:space="0" w:color="auto"/>
              <w:bottom w:val="single" w:sz="4" w:space="0" w:color="auto"/>
            </w:tcBorders>
            <w:shd w:val="pct12" w:color="auto" w:fill="auto"/>
            <w:tcMar>
              <w:top w:w="100" w:type="nil"/>
              <w:right w:w="100" w:type="nil"/>
            </w:tcMar>
          </w:tcPr>
          <w:p w14:paraId="76F4CFC5" w14:textId="77777777" w:rsidR="002E1C7B" w:rsidRPr="00760E0A" w:rsidRDefault="002E1C7B" w:rsidP="00CD33EB">
            <w:pPr>
              <w:widowControl w:val="0"/>
              <w:autoSpaceDE w:val="0"/>
              <w:autoSpaceDN w:val="0"/>
              <w:adjustRightInd w:val="0"/>
              <w:rPr>
                <w:b/>
                <w:sz w:val="22"/>
                <w:szCs w:val="22"/>
              </w:rPr>
            </w:pPr>
            <w:r w:rsidRPr="00760E0A">
              <w:rPr>
                <w:b/>
                <w:sz w:val="22"/>
                <w:szCs w:val="22"/>
              </w:rPr>
              <w:t>Program Success Target for this Measurement</w:t>
            </w:r>
          </w:p>
          <w:p w14:paraId="28D39EB2" w14:textId="77777777" w:rsidR="002E1C7B" w:rsidRPr="00760E0A" w:rsidRDefault="002E1C7B" w:rsidP="00CD33EB">
            <w:pPr>
              <w:widowControl w:val="0"/>
              <w:autoSpaceDE w:val="0"/>
              <w:autoSpaceDN w:val="0"/>
              <w:adjustRightInd w:val="0"/>
              <w:rPr>
                <w:sz w:val="22"/>
                <w:szCs w:val="22"/>
              </w:rPr>
            </w:pPr>
          </w:p>
          <w:p w14:paraId="597BDC51" w14:textId="77777777" w:rsidR="002E1C7B" w:rsidRPr="00760E0A" w:rsidRDefault="002E1C7B" w:rsidP="00CD33EB">
            <w:pPr>
              <w:widowControl w:val="0"/>
              <w:autoSpaceDE w:val="0"/>
              <w:autoSpaceDN w:val="0"/>
              <w:adjustRightInd w:val="0"/>
              <w:rPr>
                <w:sz w:val="22"/>
                <w:szCs w:val="22"/>
              </w:rPr>
            </w:pPr>
          </w:p>
        </w:tc>
        <w:tc>
          <w:tcPr>
            <w:tcW w:w="4050" w:type="dxa"/>
            <w:tcBorders>
              <w:bottom w:val="single" w:sz="4" w:space="0" w:color="auto"/>
            </w:tcBorders>
            <w:shd w:val="pct12" w:color="auto" w:fill="auto"/>
          </w:tcPr>
          <w:p w14:paraId="7FBFFE77" w14:textId="6A309DA6" w:rsidR="002E1C7B" w:rsidRPr="00760E0A" w:rsidRDefault="002E1C7B" w:rsidP="00CD33EB">
            <w:pPr>
              <w:widowControl w:val="0"/>
              <w:autoSpaceDE w:val="0"/>
              <w:autoSpaceDN w:val="0"/>
              <w:adjustRightInd w:val="0"/>
              <w:rPr>
                <w:sz w:val="22"/>
                <w:szCs w:val="22"/>
              </w:rPr>
            </w:pPr>
            <w:r>
              <w:rPr>
                <w:sz w:val="22"/>
                <w:szCs w:val="22"/>
              </w:rPr>
              <w:t>75</w:t>
            </w:r>
            <w:r w:rsidRPr="00760E0A">
              <w:rPr>
                <w:sz w:val="22"/>
                <w:szCs w:val="22"/>
              </w:rPr>
              <w:t>%</w:t>
            </w:r>
          </w:p>
        </w:tc>
        <w:tc>
          <w:tcPr>
            <w:tcW w:w="3510" w:type="dxa"/>
            <w:tcBorders>
              <w:bottom w:val="single" w:sz="4" w:space="0" w:color="auto"/>
            </w:tcBorders>
            <w:shd w:val="pct12" w:color="auto" w:fill="auto"/>
            <w:tcMar>
              <w:top w:w="100" w:type="nil"/>
              <w:right w:w="100" w:type="nil"/>
            </w:tcMar>
          </w:tcPr>
          <w:p w14:paraId="039222C8" w14:textId="77777777" w:rsidR="002E1C7B" w:rsidRPr="00760E0A" w:rsidRDefault="002E1C7B" w:rsidP="00CD33EB">
            <w:pPr>
              <w:widowControl w:val="0"/>
              <w:autoSpaceDE w:val="0"/>
              <w:autoSpaceDN w:val="0"/>
              <w:adjustRightInd w:val="0"/>
              <w:jc w:val="right"/>
              <w:rPr>
                <w:b/>
                <w:sz w:val="22"/>
                <w:szCs w:val="22"/>
              </w:rPr>
            </w:pPr>
            <w:r w:rsidRPr="00760E0A">
              <w:rPr>
                <w:b/>
                <w:sz w:val="22"/>
                <w:szCs w:val="22"/>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184CF666" w14:textId="0F047BAC" w:rsidR="002E1C7B" w:rsidRPr="00760E0A" w:rsidRDefault="002E1C7B" w:rsidP="00CD33EB">
            <w:pPr>
              <w:widowControl w:val="0"/>
              <w:autoSpaceDE w:val="0"/>
              <w:autoSpaceDN w:val="0"/>
              <w:adjustRightInd w:val="0"/>
              <w:rPr>
                <w:color w:val="767171" w:themeColor="background2" w:themeShade="80"/>
                <w:sz w:val="22"/>
                <w:szCs w:val="22"/>
              </w:rPr>
            </w:pPr>
            <w:r w:rsidRPr="00760E0A">
              <w:rPr>
                <w:color w:val="767171" w:themeColor="background2" w:themeShade="80"/>
                <w:sz w:val="22"/>
                <w:szCs w:val="22"/>
              </w:rPr>
              <w:t xml:space="preserve"> </w:t>
            </w:r>
            <w:r>
              <w:rPr>
                <w:color w:val="767171" w:themeColor="background2" w:themeShade="80"/>
                <w:sz w:val="22"/>
                <w:szCs w:val="22"/>
              </w:rPr>
              <w:t>100%</w:t>
            </w:r>
          </w:p>
        </w:tc>
      </w:tr>
      <w:tr w:rsidR="002E1C7B" w:rsidRPr="00760E0A" w14:paraId="7B90BC3B" w14:textId="77777777" w:rsidTr="00CD33EB">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0F709A88" w14:textId="77777777" w:rsidR="002E1C7B" w:rsidRPr="00760E0A" w:rsidRDefault="002E1C7B" w:rsidP="00CD33EB">
            <w:pPr>
              <w:widowControl w:val="0"/>
              <w:autoSpaceDE w:val="0"/>
              <w:autoSpaceDN w:val="0"/>
              <w:adjustRightInd w:val="0"/>
              <w:rPr>
                <w:b/>
                <w:bCs/>
                <w:sz w:val="22"/>
                <w:szCs w:val="22"/>
              </w:rPr>
            </w:pPr>
            <w:r w:rsidRPr="00760E0A">
              <w:rPr>
                <w:b/>
                <w:sz w:val="22"/>
                <w:szCs w:val="22"/>
              </w:rPr>
              <w:t>Methods</w:t>
            </w:r>
            <w:r w:rsidRPr="00760E0A">
              <w:rPr>
                <w:b/>
                <w:bCs/>
                <w:sz w:val="22"/>
                <w:szCs w:val="22"/>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tbl>
            <w:tblPr>
              <w:tblpPr w:leftFromText="187" w:rightFromText="187" w:vertAnchor="text" w:horzAnchor="margin" w:tblpY="1"/>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0"/>
            </w:tblGrid>
            <w:tr w:rsidR="002E1C7B" w:rsidRPr="00760E0A" w14:paraId="5664B834" w14:textId="77777777" w:rsidTr="00CD33EB">
              <w:trPr>
                <w:trHeight w:val="613"/>
              </w:trPr>
              <w:tc>
                <w:tcPr>
                  <w:tcW w:w="11520" w:type="dxa"/>
                  <w:tcBorders>
                    <w:top w:val="single" w:sz="4" w:space="0" w:color="auto"/>
                    <w:left w:val="single" w:sz="4" w:space="0" w:color="auto"/>
                    <w:bottom w:val="single" w:sz="4" w:space="0" w:color="auto"/>
                    <w:right w:val="single" w:sz="4" w:space="0" w:color="auto"/>
                  </w:tcBorders>
                  <w:shd w:val="pct12" w:color="auto" w:fill="auto"/>
                </w:tcPr>
                <w:p w14:paraId="6DE51FAE" w14:textId="7F0E336C" w:rsidR="002E1C7B" w:rsidRPr="00760E0A" w:rsidRDefault="002E1C7B" w:rsidP="00CD33EB">
                  <w:pPr>
                    <w:widowControl w:val="0"/>
                    <w:autoSpaceDE w:val="0"/>
                    <w:autoSpaceDN w:val="0"/>
                    <w:adjustRightInd w:val="0"/>
                    <w:rPr>
                      <w:bCs/>
                      <w:color w:val="000000" w:themeColor="text1"/>
                      <w:sz w:val="22"/>
                      <w:szCs w:val="22"/>
                    </w:rPr>
                  </w:pPr>
                  <w:r w:rsidRPr="00760E0A">
                    <w:rPr>
                      <w:bCs/>
                      <w:color w:val="000000" w:themeColor="text1"/>
                      <w:sz w:val="22"/>
                      <w:szCs w:val="22"/>
                    </w:rPr>
                    <w:t>Direct: Artifacts from the senior seminar capstone course final paper were collected from all students in the course (</w:t>
                  </w:r>
                  <w:r w:rsidRPr="00760E0A">
                    <w:rPr>
                      <w:bCs/>
                      <w:i/>
                      <w:iCs/>
                      <w:color w:val="000000" w:themeColor="text1"/>
                      <w:sz w:val="22"/>
                      <w:szCs w:val="22"/>
                    </w:rPr>
                    <w:t>N</w:t>
                  </w:r>
                  <w:r w:rsidRPr="00760E0A">
                    <w:rPr>
                      <w:bCs/>
                      <w:color w:val="000000" w:themeColor="text1"/>
                      <w:sz w:val="22"/>
                      <w:szCs w:val="22"/>
                    </w:rPr>
                    <w:t xml:space="preserve"> = </w:t>
                  </w:r>
                  <w:r>
                    <w:rPr>
                      <w:bCs/>
                      <w:color w:val="000000" w:themeColor="text1"/>
                      <w:sz w:val="22"/>
                      <w:szCs w:val="22"/>
                    </w:rPr>
                    <w:t>3</w:t>
                  </w:r>
                  <w:r w:rsidRPr="00760E0A">
                    <w:rPr>
                      <w:bCs/>
                      <w:color w:val="000000" w:themeColor="text1"/>
                      <w:sz w:val="22"/>
                      <w:szCs w:val="22"/>
                    </w:rPr>
                    <w:t>) and all identifiers removed. All papers were assessed. The papers were split among two full-time faculty so that each paper was read twice by two different reviewers. In the event there was a notable difference in the score between the two faculty members, a third faculty member read the paper and the score</w:t>
                  </w:r>
                  <w:r w:rsidR="007503E9">
                    <w:rPr>
                      <w:bCs/>
                      <w:color w:val="000000" w:themeColor="text1"/>
                      <w:sz w:val="22"/>
                      <w:szCs w:val="22"/>
                    </w:rPr>
                    <w:t>s</w:t>
                  </w:r>
                  <w:r w:rsidRPr="00760E0A">
                    <w:rPr>
                      <w:bCs/>
                      <w:color w:val="000000" w:themeColor="text1"/>
                      <w:sz w:val="22"/>
                      <w:szCs w:val="22"/>
                    </w:rPr>
                    <w:t xml:space="preserve"> of all three readers w</w:t>
                  </w:r>
                  <w:r w:rsidR="007503E9">
                    <w:rPr>
                      <w:bCs/>
                      <w:color w:val="000000" w:themeColor="text1"/>
                      <w:sz w:val="22"/>
                      <w:szCs w:val="22"/>
                    </w:rPr>
                    <w:t>ere</w:t>
                  </w:r>
                  <w:r w:rsidRPr="00760E0A">
                    <w:rPr>
                      <w:bCs/>
                      <w:color w:val="000000" w:themeColor="text1"/>
                      <w:sz w:val="22"/>
                      <w:szCs w:val="22"/>
                    </w:rPr>
                    <w:t xml:space="preserve"> averaged. The rubric used for scoring was drawn from the Critical Thinking, Information Literacy, and Written Communication Leap VALUE Rubrics from AAC&amp;U</w:t>
                  </w:r>
                  <w:r w:rsidR="007503E9">
                    <w:rPr>
                      <w:bCs/>
                      <w:color w:val="000000" w:themeColor="text1"/>
                      <w:sz w:val="22"/>
                      <w:szCs w:val="22"/>
                    </w:rPr>
                    <w:t xml:space="preserve"> (attached)</w:t>
                  </w:r>
                  <w:r w:rsidRPr="00760E0A">
                    <w:rPr>
                      <w:bCs/>
                      <w:color w:val="000000" w:themeColor="text1"/>
                      <w:sz w:val="22"/>
                      <w:szCs w:val="22"/>
                    </w:rPr>
                    <w:t xml:space="preserve">. </w:t>
                  </w:r>
                  <w:r w:rsidRPr="00760E0A">
                    <w:rPr>
                      <w:color w:val="000000" w:themeColor="text1"/>
                      <w:sz w:val="22"/>
                      <w:szCs w:val="22"/>
                    </w:rPr>
                    <w:t xml:space="preserve"> Of the </w:t>
                  </w:r>
                  <w:r>
                    <w:rPr>
                      <w:color w:val="000000" w:themeColor="text1"/>
                      <w:sz w:val="22"/>
                      <w:szCs w:val="22"/>
                    </w:rPr>
                    <w:t>three</w:t>
                  </w:r>
                  <w:r w:rsidRPr="00760E0A">
                    <w:rPr>
                      <w:color w:val="000000" w:themeColor="text1"/>
                      <w:sz w:val="22"/>
                      <w:szCs w:val="22"/>
                    </w:rPr>
                    <w:t xml:space="preserve"> papers assessed for this learning outcome, two achieved a</w:t>
                  </w:r>
                  <w:r>
                    <w:rPr>
                      <w:color w:val="000000" w:themeColor="text1"/>
                      <w:sz w:val="22"/>
                      <w:szCs w:val="22"/>
                    </w:rPr>
                    <w:t>n average score of 3.5 and one</w:t>
                  </w:r>
                  <w:r w:rsidR="009E1A73">
                    <w:rPr>
                      <w:color w:val="000000" w:themeColor="text1"/>
                      <w:sz w:val="22"/>
                      <w:szCs w:val="22"/>
                    </w:rPr>
                    <w:t xml:space="preserve"> a 3</w:t>
                  </w:r>
                  <w:r w:rsidRPr="00760E0A">
                    <w:rPr>
                      <w:color w:val="000000" w:themeColor="text1"/>
                      <w:sz w:val="22"/>
                      <w:szCs w:val="22"/>
                    </w:rPr>
                    <w:t>.</w:t>
                  </w:r>
                </w:p>
                <w:p w14:paraId="09FD52F8" w14:textId="77777777" w:rsidR="002E1C7B" w:rsidRPr="00760E0A" w:rsidRDefault="002E1C7B" w:rsidP="00CD33EB">
                  <w:pPr>
                    <w:widowControl w:val="0"/>
                    <w:autoSpaceDE w:val="0"/>
                    <w:autoSpaceDN w:val="0"/>
                    <w:adjustRightInd w:val="0"/>
                    <w:rPr>
                      <w:color w:val="000000" w:themeColor="text1"/>
                      <w:sz w:val="22"/>
                      <w:szCs w:val="22"/>
                    </w:rPr>
                  </w:pPr>
                </w:p>
              </w:tc>
            </w:tr>
          </w:tbl>
          <w:p w14:paraId="70FB80FF" w14:textId="77777777" w:rsidR="002E1C7B" w:rsidRPr="00760E0A" w:rsidRDefault="002E1C7B" w:rsidP="00CD33EB">
            <w:pPr>
              <w:widowControl w:val="0"/>
              <w:tabs>
                <w:tab w:val="left" w:pos="4443"/>
              </w:tabs>
              <w:autoSpaceDE w:val="0"/>
              <w:autoSpaceDN w:val="0"/>
              <w:adjustRightInd w:val="0"/>
              <w:rPr>
                <w:sz w:val="22"/>
                <w:szCs w:val="22"/>
              </w:rPr>
            </w:pPr>
          </w:p>
        </w:tc>
      </w:tr>
      <w:tr w:rsidR="002E1C7B" w:rsidRPr="00760E0A" w14:paraId="3AB380ED" w14:textId="77777777" w:rsidTr="00CD33EB">
        <w:tc>
          <w:tcPr>
            <w:tcW w:w="11875" w:type="dxa"/>
            <w:gridSpan w:val="4"/>
            <w:tcBorders>
              <w:top w:val="single" w:sz="4" w:space="0" w:color="auto"/>
              <w:bottom w:val="single" w:sz="4" w:space="0" w:color="auto"/>
            </w:tcBorders>
            <w:shd w:val="clear" w:color="auto" w:fill="auto"/>
            <w:tcMar>
              <w:top w:w="100" w:type="nil"/>
              <w:right w:w="100" w:type="nil"/>
            </w:tcMar>
          </w:tcPr>
          <w:p w14:paraId="7A921E8A" w14:textId="77777777" w:rsidR="002E1C7B" w:rsidRPr="00760E0A" w:rsidRDefault="002E1C7B" w:rsidP="00CD33EB">
            <w:pPr>
              <w:widowControl w:val="0"/>
              <w:autoSpaceDE w:val="0"/>
              <w:autoSpaceDN w:val="0"/>
              <w:adjustRightInd w:val="0"/>
              <w:rPr>
                <w:b/>
                <w:bCs/>
                <w:sz w:val="22"/>
                <w:szCs w:val="22"/>
              </w:rPr>
            </w:pPr>
            <w:r w:rsidRPr="00760E0A">
              <w:rPr>
                <w:b/>
                <w:bCs/>
                <w:sz w:val="22"/>
                <w:szCs w:val="22"/>
              </w:rPr>
              <w:t>Based on your results, circle or highlight whether the program met the goal Student Learning Outcome 2.</w:t>
            </w:r>
          </w:p>
          <w:p w14:paraId="52AA7EC1" w14:textId="77777777" w:rsidR="002E1C7B" w:rsidRPr="00760E0A" w:rsidRDefault="002E1C7B" w:rsidP="00CD33EB">
            <w:pPr>
              <w:widowControl w:val="0"/>
              <w:autoSpaceDE w:val="0"/>
              <w:autoSpaceDN w:val="0"/>
              <w:adjustRightInd w:val="0"/>
              <w:rPr>
                <w:b/>
                <w:sz w:val="22"/>
                <w:szCs w:val="22"/>
              </w:rPr>
            </w:pPr>
            <w:r w:rsidRPr="00760E0A">
              <w:rPr>
                <w:b/>
                <w:sz w:val="22"/>
                <w:szCs w:val="22"/>
              </w:rPr>
              <w:t xml:space="preserve"> </w:t>
            </w:r>
          </w:p>
        </w:tc>
        <w:tc>
          <w:tcPr>
            <w:tcW w:w="1350" w:type="dxa"/>
            <w:tcBorders>
              <w:top w:val="single" w:sz="4" w:space="0" w:color="auto"/>
              <w:bottom w:val="single" w:sz="4" w:space="0" w:color="auto"/>
            </w:tcBorders>
            <w:shd w:val="clear" w:color="auto" w:fill="auto"/>
            <w:vAlign w:val="center"/>
          </w:tcPr>
          <w:p w14:paraId="71CD9E3B" w14:textId="77777777" w:rsidR="002E1C7B" w:rsidRPr="00760E0A" w:rsidRDefault="002E1C7B" w:rsidP="00CD33EB">
            <w:pPr>
              <w:widowControl w:val="0"/>
              <w:autoSpaceDE w:val="0"/>
              <w:autoSpaceDN w:val="0"/>
              <w:adjustRightInd w:val="0"/>
              <w:jc w:val="center"/>
              <w:rPr>
                <w:b/>
                <w:sz w:val="22"/>
                <w:szCs w:val="22"/>
                <w:u w:val="single"/>
              </w:rPr>
            </w:pPr>
            <w:r w:rsidRPr="00760E0A">
              <w:rPr>
                <w:b/>
                <w:sz w:val="22"/>
                <w:szCs w:val="22"/>
                <w:highlight w:val="yellow"/>
                <w:u w:val="single"/>
              </w:rPr>
              <w:t>Met</w:t>
            </w:r>
          </w:p>
        </w:tc>
        <w:tc>
          <w:tcPr>
            <w:tcW w:w="1170" w:type="dxa"/>
            <w:tcBorders>
              <w:top w:val="single" w:sz="4" w:space="0" w:color="auto"/>
              <w:bottom w:val="single" w:sz="4" w:space="0" w:color="auto"/>
            </w:tcBorders>
            <w:shd w:val="clear" w:color="auto" w:fill="auto"/>
            <w:vAlign w:val="center"/>
          </w:tcPr>
          <w:p w14:paraId="783C41C1" w14:textId="77777777" w:rsidR="002E1C7B" w:rsidRPr="00760E0A" w:rsidRDefault="002E1C7B" w:rsidP="00CD33EB">
            <w:pPr>
              <w:widowControl w:val="0"/>
              <w:autoSpaceDE w:val="0"/>
              <w:autoSpaceDN w:val="0"/>
              <w:adjustRightInd w:val="0"/>
              <w:jc w:val="center"/>
              <w:rPr>
                <w:b/>
                <w:sz w:val="22"/>
                <w:szCs w:val="22"/>
              </w:rPr>
            </w:pPr>
            <w:r w:rsidRPr="00760E0A">
              <w:rPr>
                <w:b/>
                <w:sz w:val="22"/>
                <w:szCs w:val="22"/>
              </w:rPr>
              <w:t>Not Met</w:t>
            </w:r>
          </w:p>
        </w:tc>
      </w:tr>
      <w:tr w:rsidR="002E1C7B" w:rsidRPr="00760E0A" w14:paraId="42CFB697" w14:textId="77777777" w:rsidTr="00CD33EB">
        <w:tc>
          <w:tcPr>
            <w:tcW w:w="14395" w:type="dxa"/>
            <w:gridSpan w:val="6"/>
            <w:shd w:val="pct12" w:color="auto" w:fill="auto"/>
            <w:tcMar>
              <w:top w:w="100" w:type="nil"/>
              <w:right w:w="100" w:type="nil"/>
            </w:tcMar>
          </w:tcPr>
          <w:p w14:paraId="1365C8A9" w14:textId="77777777" w:rsidR="002E1C7B" w:rsidRPr="00760E0A" w:rsidRDefault="002E1C7B" w:rsidP="00CD33EB">
            <w:pPr>
              <w:widowControl w:val="0"/>
              <w:autoSpaceDE w:val="0"/>
              <w:autoSpaceDN w:val="0"/>
              <w:adjustRightInd w:val="0"/>
              <w:rPr>
                <w:b/>
                <w:sz w:val="22"/>
                <w:szCs w:val="22"/>
              </w:rPr>
            </w:pPr>
            <w:r w:rsidRPr="00760E0A">
              <w:rPr>
                <w:b/>
                <w:sz w:val="22"/>
                <w:szCs w:val="22"/>
              </w:rPr>
              <w:t>Actions</w:t>
            </w:r>
          </w:p>
        </w:tc>
      </w:tr>
      <w:tr w:rsidR="002E1C7B" w:rsidRPr="00760E0A" w14:paraId="57C388D1" w14:textId="77777777" w:rsidTr="00CD33EB">
        <w:trPr>
          <w:trHeight w:val="509"/>
        </w:trPr>
        <w:tc>
          <w:tcPr>
            <w:tcW w:w="14395" w:type="dxa"/>
            <w:gridSpan w:val="6"/>
            <w:shd w:val="pct12" w:color="auto" w:fill="auto"/>
            <w:tcMar>
              <w:top w:w="100" w:type="nil"/>
              <w:right w:w="100" w:type="nil"/>
            </w:tcMar>
          </w:tcPr>
          <w:p w14:paraId="359C855D" w14:textId="4F1AAE2C" w:rsidR="002E1C7B" w:rsidRPr="00760E0A" w:rsidRDefault="002E1C7B" w:rsidP="00CD33EB">
            <w:pPr>
              <w:jc w:val="both"/>
              <w:rPr>
                <w:bCs/>
                <w:sz w:val="22"/>
                <w:szCs w:val="22"/>
              </w:rPr>
            </w:pPr>
            <w:r w:rsidRPr="00760E0A">
              <w:rPr>
                <w:bCs/>
                <w:sz w:val="22"/>
                <w:szCs w:val="22"/>
              </w:rPr>
              <w:t xml:space="preserve">After the assessment process, the two faculty members met to discuss the results, particularly </w:t>
            </w:r>
            <w:proofErr w:type="gramStart"/>
            <w:r w:rsidRPr="00760E0A">
              <w:rPr>
                <w:bCs/>
                <w:sz w:val="22"/>
                <w:szCs w:val="22"/>
              </w:rPr>
              <w:t>in light of</w:t>
            </w:r>
            <w:proofErr w:type="gramEnd"/>
            <w:r w:rsidRPr="00760E0A">
              <w:rPr>
                <w:bCs/>
                <w:sz w:val="22"/>
                <w:szCs w:val="22"/>
              </w:rPr>
              <w:t xml:space="preserve"> the </w:t>
            </w:r>
            <w:r w:rsidR="009E1A73">
              <w:rPr>
                <w:bCs/>
                <w:sz w:val="22"/>
                <w:szCs w:val="22"/>
              </w:rPr>
              <w:t xml:space="preserve">2018-1019 </w:t>
            </w:r>
            <w:r w:rsidRPr="00760E0A">
              <w:rPr>
                <w:bCs/>
                <w:sz w:val="22"/>
                <w:szCs w:val="22"/>
              </w:rPr>
              <w:t xml:space="preserve">year’s assessment where 75% of the student learning outcomes were not met.  </w:t>
            </w:r>
          </w:p>
          <w:p w14:paraId="50B517B4" w14:textId="77777777" w:rsidR="002E1C7B" w:rsidRPr="00760E0A" w:rsidRDefault="002E1C7B" w:rsidP="00CD33EB">
            <w:pPr>
              <w:jc w:val="both"/>
              <w:rPr>
                <w:bCs/>
                <w:sz w:val="22"/>
                <w:szCs w:val="22"/>
              </w:rPr>
            </w:pPr>
          </w:p>
          <w:p w14:paraId="4E5B22D7" w14:textId="77777777" w:rsidR="002E1C7B" w:rsidRPr="00760E0A" w:rsidRDefault="002E1C7B" w:rsidP="00CD33EB">
            <w:pPr>
              <w:jc w:val="both"/>
              <w:rPr>
                <w:bCs/>
                <w:sz w:val="22"/>
                <w:szCs w:val="22"/>
              </w:rPr>
            </w:pPr>
            <w:r w:rsidRPr="00760E0A">
              <w:rPr>
                <w:bCs/>
                <w:sz w:val="22"/>
                <w:szCs w:val="22"/>
              </w:rPr>
              <w:t xml:space="preserve">After careful analysis, the faculty members concluding that the </w:t>
            </w:r>
            <w:proofErr w:type="gramStart"/>
            <w:r w:rsidRPr="00760E0A">
              <w:rPr>
                <w:bCs/>
                <w:sz w:val="22"/>
                <w:szCs w:val="22"/>
              </w:rPr>
              <w:t>manner in which</w:t>
            </w:r>
            <w:proofErr w:type="gramEnd"/>
            <w:r w:rsidRPr="00760E0A">
              <w:rPr>
                <w:bCs/>
                <w:sz w:val="22"/>
                <w:szCs w:val="22"/>
              </w:rPr>
              <w:t xml:space="preserve"> th</w:t>
            </w:r>
            <w:r>
              <w:rPr>
                <w:bCs/>
                <w:sz w:val="22"/>
                <w:szCs w:val="22"/>
              </w:rPr>
              <w:t>e senior seminars are structured</w:t>
            </w:r>
            <w:r w:rsidRPr="00760E0A">
              <w:rPr>
                <w:bCs/>
                <w:sz w:val="22"/>
                <w:szCs w:val="22"/>
              </w:rPr>
              <w:t xml:space="preserve"> makes an important difference.  As this is a course that generally rotates among faculty members, a decision was reached to implement changes. </w:t>
            </w:r>
          </w:p>
          <w:p w14:paraId="195472C4" w14:textId="77777777" w:rsidR="002E1C7B" w:rsidRPr="00760E0A" w:rsidRDefault="002E1C7B" w:rsidP="00CD33EB">
            <w:pPr>
              <w:jc w:val="both"/>
              <w:rPr>
                <w:b/>
                <w:sz w:val="22"/>
                <w:szCs w:val="22"/>
              </w:rPr>
            </w:pPr>
          </w:p>
        </w:tc>
      </w:tr>
      <w:tr w:rsidR="002E1C7B" w:rsidRPr="00760E0A" w14:paraId="45BEE9C7" w14:textId="77777777" w:rsidTr="00CD33EB">
        <w:tc>
          <w:tcPr>
            <w:tcW w:w="14395" w:type="dxa"/>
            <w:gridSpan w:val="6"/>
            <w:shd w:val="clear" w:color="auto" w:fill="auto"/>
            <w:tcMar>
              <w:top w:w="100" w:type="nil"/>
              <w:right w:w="100" w:type="nil"/>
            </w:tcMar>
          </w:tcPr>
          <w:p w14:paraId="03649BF0" w14:textId="77777777" w:rsidR="002E1C7B" w:rsidRPr="00760E0A" w:rsidRDefault="002E1C7B" w:rsidP="00CD33EB">
            <w:pPr>
              <w:jc w:val="both"/>
              <w:rPr>
                <w:b/>
                <w:bCs/>
                <w:sz w:val="22"/>
                <w:szCs w:val="22"/>
              </w:rPr>
            </w:pPr>
            <w:r w:rsidRPr="00760E0A">
              <w:rPr>
                <w:b/>
                <w:bCs/>
                <w:sz w:val="22"/>
                <w:szCs w:val="22"/>
              </w:rPr>
              <w:t>Follow-Up</w:t>
            </w:r>
          </w:p>
        </w:tc>
      </w:tr>
      <w:tr w:rsidR="002E1C7B" w:rsidRPr="00760E0A" w14:paraId="6676691A" w14:textId="77777777" w:rsidTr="00CD33EB">
        <w:tc>
          <w:tcPr>
            <w:tcW w:w="14395" w:type="dxa"/>
            <w:gridSpan w:val="6"/>
            <w:shd w:val="clear" w:color="auto" w:fill="auto"/>
            <w:tcMar>
              <w:top w:w="100" w:type="nil"/>
              <w:right w:w="100" w:type="nil"/>
            </w:tcMar>
          </w:tcPr>
          <w:p w14:paraId="481B5BD9" w14:textId="77777777" w:rsidR="002E1C7B" w:rsidRPr="009E1A73" w:rsidRDefault="002E1C7B" w:rsidP="009E1A73">
            <w:pPr>
              <w:rPr>
                <w:color w:val="000000"/>
                <w:sz w:val="22"/>
                <w:szCs w:val="22"/>
              </w:rPr>
            </w:pPr>
          </w:p>
          <w:p w14:paraId="214E654A" w14:textId="5ED7A880" w:rsidR="009E1A73" w:rsidRPr="00760E0A" w:rsidRDefault="009E1A73" w:rsidP="009E1A73">
            <w:pPr>
              <w:pStyle w:val="ListParagraph"/>
              <w:numPr>
                <w:ilvl w:val="0"/>
                <w:numId w:val="3"/>
              </w:numPr>
              <w:spacing w:before="0" w:beforeAutospacing="0" w:after="0" w:afterAutospacing="0"/>
              <w:rPr>
                <w:color w:val="000000"/>
                <w:sz w:val="22"/>
                <w:szCs w:val="22"/>
              </w:rPr>
            </w:pPr>
            <w:r w:rsidRPr="00760E0A">
              <w:rPr>
                <w:color w:val="000000"/>
                <w:sz w:val="22"/>
                <w:szCs w:val="22"/>
              </w:rPr>
              <w:t xml:space="preserve">We have restructured ARC 499 </w:t>
            </w:r>
            <w:r>
              <w:rPr>
                <w:color w:val="000000"/>
                <w:sz w:val="22"/>
                <w:szCs w:val="22"/>
              </w:rPr>
              <w:t xml:space="preserve">in 2019-2020 </w:t>
            </w:r>
            <w:r w:rsidRPr="00760E0A">
              <w:rPr>
                <w:color w:val="000000"/>
                <w:sz w:val="22"/>
                <w:szCs w:val="22"/>
              </w:rPr>
              <w:t>to focus on the necessary skills required for graduating students entering graduate program</w:t>
            </w:r>
            <w:r w:rsidR="007503E9">
              <w:rPr>
                <w:color w:val="000000"/>
                <w:sz w:val="22"/>
                <w:szCs w:val="22"/>
              </w:rPr>
              <w:t>s</w:t>
            </w:r>
            <w:r w:rsidRPr="00760E0A">
              <w:rPr>
                <w:color w:val="000000"/>
                <w:sz w:val="22"/>
                <w:szCs w:val="22"/>
              </w:rPr>
              <w:t xml:space="preserve"> and professional careers in Asian Studies and in Asian countries.</w:t>
            </w:r>
            <w:r>
              <w:rPr>
                <w:color w:val="000000"/>
                <w:sz w:val="22"/>
                <w:szCs w:val="22"/>
              </w:rPr>
              <w:t xml:space="preserve">  More discussion will be devoted to this restructuring as many of our graduate students do not enter graduate programs.</w:t>
            </w:r>
          </w:p>
          <w:p w14:paraId="57908FBD" w14:textId="77777777" w:rsidR="009E1A73" w:rsidRPr="00760E0A" w:rsidRDefault="009E1A73" w:rsidP="009E1A73">
            <w:pPr>
              <w:pStyle w:val="ListParagraph"/>
              <w:numPr>
                <w:ilvl w:val="0"/>
                <w:numId w:val="3"/>
              </w:numPr>
              <w:spacing w:before="0" w:beforeAutospacing="0" w:after="0" w:afterAutospacing="0"/>
              <w:rPr>
                <w:color w:val="000000"/>
                <w:sz w:val="22"/>
                <w:szCs w:val="22"/>
              </w:rPr>
            </w:pPr>
            <w:r w:rsidRPr="00760E0A">
              <w:rPr>
                <w:color w:val="000000"/>
                <w:sz w:val="22"/>
                <w:szCs w:val="22"/>
              </w:rPr>
              <w:t xml:space="preserve">The revised version of ARC 499 </w:t>
            </w:r>
            <w:r>
              <w:rPr>
                <w:color w:val="000000"/>
                <w:sz w:val="22"/>
                <w:szCs w:val="22"/>
              </w:rPr>
              <w:t>included</w:t>
            </w:r>
            <w:r w:rsidRPr="00760E0A">
              <w:rPr>
                <w:color w:val="000000"/>
                <w:sz w:val="22"/>
                <w:szCs w:val="22"/>
              </w:rPr>
              <w:t xml:space="preserve"> units on citation styles, research methods, academic publishing, </w:t>
            </w:r>
            <w:proofErr w:type="gramStart"/>
            <w:r w:rsidRPr="00760E0A">
              <w:rPr>
                <w:color w:val="000000"/>
                <w:sz w:val="22"/>
                <w:szCs w:val="22"/>
              </w:rPr>
              <w:t>theories</w:t>
            </w:r>
            <w:proofErr w:type="gramEnd"/>
            <w:r w:rsidRPr="00760E0A">
              <w:rPr>
                <w:color w:val="000000"/>
                <w:sz w:val="22"/>
                <w:szCs w:val="22"/>
              </w:rPr>
              <w:t xml:space="preserve"> and methods in graduate academic study, and writing for the professional and academic market.</w:t>
            </w:r>
            <w:r w:rsidRPr="00760E0A">
              <w:rPr>
                <w:rStyle w:val="apple-converted-space"/>
                <w:color w:val="000000"/>
                <w:sz w:val="22"/>
                <w:szCs w:val="22"/>
              </w:rPr>
              <w:t> </w:t>
            </w:r>
          </w:p>
          <w:p w14:paraId="5FE726EA" w14:textId="77777777" w:rsidR="009E1A73" w:rsidRPr="00760E0A" w:rsidRDefault="009E1A73" w:rsidP="009E1A73">
            <w:pPr>
              <w:pStyle w:val="ListParagraph"/>
              <w:numPr>
                <w:ilvl w:val="0"/>
                <w:numId w:val="3"/>
              </w:numPr>
              <w:spacing w:before="0" w:beforeAutospacing="0" w:after="0" w:afterAutospacing="0"/>
              <w:rPr>
                <w:color w:val="000000"/>
                <w:sz w:val="22"/>
                <w:szCs w:val="22"/>
              </w:rPr>
            </w:pPr>
            <w:r w:rsidRPr="00760E0A">
              <w:rPr>
                <w:color w:val="000000"/>
                <w:sz w:val="22"/>
                <w:szCs w:val="22"/>
              </w:rPr>
              <w:t xml:space="preserve">The course </w:t>
            </w:r>
            <w:r>
              <w:rPr>
                <w:color w:val="000000"/>
                <w:sz w:val="22"/>
                <w:szCs w:val="22"/>
              </w:rPr>
              <w:t>concluded</w:t>
            </w:r>
            <w:r w:rsidRPr="00760E0A">
              <w:rPr>
                <w:color w:val="000000"/>
                <w:sz w:val="22"/>
                <w:szCs w:val="22"/>
              </w:rPr>
              <w:t xml:space="preserve"> with a capstone-style assignment, e.g., a conference paper, which will be used as evidence for the changes we have made and their evaluation. </w:t>
            </w:r>
          </w:p>
          <w:p w14:paraId="155E873A" w14:textId="77777777" w:rsidR="002E1C7B" w:rsidRPr="00760E0A" w:rsidRDefault="002E1C7B" w:rsidP="00CD33EB">
            <w:pPr>
              <w:jc w:val="both"/>
              <w:rPr>
                <w:bCs/>
                <w:sz w:val="22"/>
                <w:szCs w:val="22"/>
              </w:rPr>
            </w:pPr>
          </w:p>
        </w:tc>
      </w:tr>
      <w:tr w:rsidR="002E1C7B" w:rsidRPr="00760E0A" w14:paraId="22F8EB33" w14:textId="77777777" w:rsidTr="00CD33EB">
        <w:tc>
          <w:tcPr>
            <w:tcW w:w="14395" w:type="dxa"/>
            <w:gridSpan w:val="6"/>
            <w:shd w:val="clear" w:color="auto" w:fill="auto"/>
            <w:tcMar>
              <w:top w:w="100" w:type="nil"/>
              <w:right w:w="100" w:type="nil"/>
            </w:tcMar>
          </w:tcPr>
          <w:p w14:paraId="67AAEAA7" w14:textId="77777777" w:rsidR="002E1C7B" w:rsidRPr="00760E0A" w:rsidRDefault="002E1C7B" w:rsidP="00CD33EB">
            <w:pPr>
              <w:jc w:val="both"/>
              <w:rPr>
                <w:color w:val="767171" w:themeColor="background2" w:themeShade="80"/>
                <w:sz w:val="22"/>
                <w:szCs w:val="22"/>
              </w:rPr>
            </w:pPr>
            <w:r w:rsidRPr="00760E0A">
              <w:rPr>
                <w:b/>
                <w:bCs/>
                <w:color w:val="000000" w:themeColor="text1"/>
                <w:sz w:val="22"/>
                <w:szCs w:val="22"/>
              </w:rPr>
              <w:lastRenderedPageBreak/>
              <w:t>Next Assessment Cycle Plan</w:t>
            </w:r>
          </w:p>
        </w:tc>
      </w:tr>
      <w:tr w:rsidR="002E1C7B" w:rsidRPr="00760E0A" w14:paraId="3DB98FA9" w14:textId="77777777" w:rsidTr="00CD33EB">
        <w:tc>
          <w:tcPr>
            <w:tcW w:w="14395" w:type="dxa"/>
            <w:gridSpan w:val="6"/>
            <w:shd w:val="clear" w:color="auto" w:fill="auto"/>
            <w:tcMar>
              <w:top w:w="100" w:type="nil"/>
              <w:right w:w="100" w:type="nil"/>
            </w:tcMar>
          </w:tcPr>
          <w:p w14:paraId="65FE5E5B" w14:textId="77777777" w:rsidR="002E1C7B" w:rsidRDefault="009E1A73" w:rsidP="00CD33EB">
            <w:pPr>
              <w:jc w:val="both"/>
              <w:rPr>
                <w:color w:val="000000" w:themeColor="text1"/>
                <w:sz w:val="22"/>
                <w:szCs w:val="22"/>
              </w:rPr>
            </w:pPr>
            <w:r>
              <w:rPr>
                <w:color w:val="000000" w:themeColor="text1"/>
                <w:sz w:val="22"/>
                <w:szCs w:val="22"/>
              </w:rPr>
              <w:t xml:space="preserve">As noted above, in fall 2021 the faculty will be meeting again to assess the SLOs and decide on possibly new skills for ARC graduates, as most do not enter graduate school. </w:t>
            </w:r>
          </w:p>
          <w:p w14:paraId="0B5E5A44" w14:textId="1DB93A4D" w:rsidR="009E1A73" w:rsidRPr="00760E0A" w:rsidRDefault="009E1A73" w:rsidP="00CD33EB">
            <w:pPr>
              <w:jc w:val="both"/>
              <w:rPr>
                <w:color w:val="767171" w:themeColor="background2" w:themeShade="80"/>
                <w:sz w:val="22"/>
                <w:szCs w:val="22"/>
              </w:rPr>
            </w:pPr>
          </w:p>
        </w:tc>
      </w:tr>
    </w:tbl>
    <w:p w14:paraId="48CF7081" w14:textId="7E0D8C4F" w:rsidR="002E1C7B" w:rsidRPr="002E1C7B" w:rsidRDefault="002E1C7B" w:rsidP="002E1C7B">
      <w:pPr>
        <w:rPr>
          <w:b/>
          <w:bCs/>
          <w:sz w:val="22"/>
          <w:szCs w:val="22"/>
        </w:rPr>
      </w:pPr>
      <w:r w:rsidRPr="00760E0A">
        <w:rPr>
          <w:b/>
          <w:bCs/>
          <w:sz w:val="22"/>
          <w:szCs w:val="22"/>
        </w:rPr>
        <w:t xml:space="preserve">Rubric for Student Learning Outcome 2: </w:t>
      </w:r>
      <w:r w:rsidRPr="00760E0A">
        <w:rPr>
          <w:sz w:val="22"/>
          <w:szCs w:val="22"/>
        </w:rPr>
        <w:t>Students will be able to demonstrate effective written communication skills appropriate to the field of Asian religions and cultures.</w:t>
      </w:r>
    </w:p>
    <w:p w14:paraId="591BD8DB" w14:textId="77777777" w:rsidR="002E1C7B" w:rsidRPr="00760E0A" w:rsidRDefault="002E1C7B" w:rsidP="002E1C7B">
      <w:pPr>
        <w:rPr>
          <w:sz w:val="22"/>
          <w:szCs w:val="22"/>
        </w:rPr>
      </w:pPr>
    </w:p>
    <w:tbl>
      <w:tblPr>
        <w:tblStyle w:val="TableGrid"/>
        <w:tblW w:w="14395" w:type="dxa"/>
        <w:tblLook w:val="04A0" w:firstRow="1" w:lastRow="0" w:firstColumn="1" w:lastColumn="0" w:noHBand="0" w:noVBand="1"/>
      </w:tblPr>
      <w:tblGrid>
        <w:gridCol w:w="3176"/>
        <w:gridCol w:w="2270"/>
        <w:gridCol w:w="2547"/>
        <w:gridCol w:w="3367"/>
        <w:gridCol w:w="3035"/>
      </w:tblGrid>
      <w:tr w:rsidR="002E1C7B" w:rsidRPr="00760E0A" w14:paraId="043C4F90" w14:textId="77777777" w:rsidTr="00CD33EB">
        <w:tc>
          <w:tcPr>
            <w:tcW w:w="3176" w:type="dxa"/>
          </w:tcPr>
          <w:p w14:paraId="1C5B3B27" w14:textId="77777777" w:rsidR="002E1C7B" w:rsidRPr="00760E0A" w:rsidRDefault="002E1C7B" w:rsidP="00CD33EB">
            <w:pPr>
              <w:rPr>
                <w:sz w:val="22"/>
                <w:szCs w:val="22"/>
              </w:rPr>
            </w:pPr>
          </w:p>
        </w:tc>
        <w:tc>
          <w:tcPr>
            <w:tcW w:w="2270" w:type="dxa"/>
          </w:tcPr>
          <w:p w14:paraId="72F908BA" w14:textId="77777777" w:rsidR="002E1C7B" w:rsidRPr="00760E0A" w:rsidRDefault="002E1C7B" w:rsidP="00CD33EB">
            <w:pPr>
              <w:rPr>
                <w:sz w:val="22"/>
                <w:szCs w:val="22"/>
              </w:rPr>
            </w:pPr>
            <w:r w:rsidRPr="00760E0A">
              <w:rPr>
                <w:sz w:val="22"/>
                <w:szCs w:val="22"/>
              </w:rPr>
              <w:t>Capstone (4)</w:t>
            </w:r>
          </w:p>
        </w:tc>
        <w:tc>
          <w:tcPr>
            <w:tcW w:w="2547" w:type="dxa"/>
          </w:tcPr>
          <w:p w14:paraId="56D0C54D" w14:textId="77777777" w:rsidR="002E1C7B" w:rsidRPr="00760E0A" w:rsidRDefault="002E1C7B" w:rsidP="00CD33EB">
            <w:pPr>
              <w:rPr>
                <w:sz w:val="22"/>
                <w:szCs w:val="22"/>
              </w:rPr>
            </w:pPr>
            <w:r w:rsidRPr="00760E0A">
              <w:rPr>
                <w:sz w:val="22"/>
                <w:szCs w:val="22"/>
              </w:rPr>
              <w:t>Upper Milestone (3)</w:t>
            </w:r>
          </w:p>
        </w:tc>
        <w:tc>
          <w:tcPr>
            <w:tcW w:w="3367" w:type="dxa"/>
          </w:tcPr>
          <w:p w14:paraId="222DED05" w14:textId="77777777" w:rsidR="002E1C7B" w:rsidRPr="00760E0A" w:rsidRDefault="002E1C7B" w:rsidP="00CD33EB">
            <w:pPr>
              <w:rPr>
                <w:sz w:val="22"/>
                <w:szCs w:val="22"/>
              </w:rPr>
            </w:pPr>
            <w:r w:rsidRPr="00760E0A">
              <w:rPr>
                <w:sz w:val="22"/>
                <w:szCs w:val="22"/>
              </w:rPr>
              <w:t>Lower Milestone (2)</w:t>
            </w:r>
          </w:p>
        </w:tc>
        <w:tc>
          <w:tcPr>
            <w:tcW w:w="3035" w:type="dxa"/>
          </w:tcPr>
          <w:p w14:paraId="56EAAEAF" w14:textId="77777777" w:rsidR="002E1C7B" w:rsidRPr="00760E0A" w:rsidRDefault="002E1C7B" w:rsidP="00CD33EB">
            <w:pPr>
              <w:rPr>
                <w:sz w:val="22"/>
                <w:szCs w:val="22"/>
              </w:rPr>
            </w:pPr>
            <w:r w:rsidRPr="00760E0A">
              <w:rPr>
                <w:sz w:val="22"/>
                <w:szCs w:val="22"/>
              </w:rPr>
              <w:t>Benchmark (1)</w:t>
            </w:r>
          </w:p>
        </w:tc>
      </w:tr>
      <w:tr w:rsidR="002E1C7B" w:rsidRPr="00760E0A" w14:paraId="3E6F87D1" w14:textId="77777777" w:rsidTr="00CD33EB">
        <w:tc>
          <w:tcPr>
            <w:tcW w:w="3176" w:type="dxa"/>
          </w:tcPr>
          <w:p w14:paraId="18C4EE94" w14:textId="77777777" w:rsidR="002E1C7B" w:rsidRPr="00760E0A" w:rsidRDefault="002E1C7B" w:rsidP="00CD33EB">
            <w:pPr>
              <w:rPr>
                <w:sz w:val="22"/>
                <w:szCs w:val="22"/>
              </w:rPr>
            </w:pPr>
            <w:r w:rsidRPr="00760E0A">
              <w:rPr>
                <w:sz w:val="22"/>
                <w:szCs w:val="22"/>
              </w:rPr>
              <w:t>Content Development</w:t>
            </w:r>
          </w:p>
          <w:p w14:paraId="56015E22" w14:textId="77777777" w:rsidR="002E1C7B" w:rsidRPr="00760E0A" w:rsidRDefault="002E1C7B" w:rsidP="00CD33EB">
            <w:pPr>
              <w:rPr>
                <w:sz w:val="22"/>
                <w:szCs w:val="22"/>
              </w:rPr>
            </w:pPr>
          </w:p>
        </w:tc>
        <w:tc>
          <w:tcPr>
            <w:tcW w:w="2270" w:type="dxa"/>
          </w:tcPr>
          <w:p w14:paraId="0D852B4D" w14:textId="77777777" w:rsidR="002E1C7B" w:rsidRPr="00760E0A" w:rsidRDefault="002E1C7B" w:rsidP="00CD33EB">
            <w:pPr>
              <w:rPr>
                <w:sz w:val="22"/>
                <w:szCs w:val="22"/>
              </w:rPr>
            </w:pPr>
            <w:r w:rsidRPr="00760E0A">
              <w:rPr>
                <w:sz w:val="22"/>
                <w:szCs w:val="22"/>
              </w:rPr>
              <w:t>Uses appropriate, relevant, and compelling content to illustrate mastery of the subject, conveying the writer's understanding, and this shapes the whole work.</w:t>
            </w:r>
          </w:p>
          <w:p w14:paraId="48DAE07F" w14:textId="77777777" w:rsidR="002E1C7B" w:rsidRPr="00760E0A" w:rsidRDefault="002E1C7B" w:rsidP="00CD33EB">
            <w:pPr>
              <w:rPr>
                <w:sz w:val="22"/>
                <w:szCs w:val="22"/>
              </w:rPr>
            </w:pPr>
          </w:p>
        </w:tc>
        <w:tc>
          <w:tcPr>
            <w:tcW w:w="2547" w:type="dxa"/>
          </w:tcPr>
          <w:p w14:paraId="0FE33278" w14:textId="77777777" w:rsidR="002E1C7B" w:rsidRPr="00760E0A" w:rsidRDefault="002E1C7B" w:rsidP="00CD33EB">
            <w:pPr>
              <w:rPr>
                <w:sz w:val="22"/>
                <w:szCs w:val="22"/>
              </w:rPr>
            </w:pPr>
            <w:r w:rsidRPr="00760E0A">
              <w:rPr>
                <w:sz w:val="22"/>
                <w:szCs w:val="22"/>
              </w:rPr>
              <w:t xml:space="preserve">Uses appropriate, </w:t>
            </w:r>
            <w:proofErr w:type="spellStart"/>
            <w:r w:rsidRPr="00760E0A">
              <w:rPr>
                <w:sz w:val="22"/>
                <w:szCs w:val="22"/>
              </w:rPr>
              <w:t>relevent</w:t>
            </w:r>
            <w:proofErr w:type="spellEnd"/>
            <w:r w:rsidRPr="00760E0A">
              <w:rPr>
                <w:sz w:val="22"/>
                <w:szCs w:val="22"/>
              </w:rPr>
              <w:t>, and compelling content to explore ideas within the context of the discipline and this shapes the whole work.</w:t>
            </w:r>
          </w:p>
        </w:tc>
        <w:tc>
          <w:tcPr>
            <w:tcW w:w="3367" w:type="dxa"/>
          </w:tcPr>
          <w:p w14:paraId="1A13E044" w14:textId="77777777" w:rsidR="002E1C7B" w:rsidRPr="00760E0A" w:rsidRDefault="002E1C7B" w:rsidP="00CD33EB">
            <w:pPr>
              <w:rPr>
                <w:sz w:val="22"/>
                <w:szCs w:val="22"/>
              </w:rPr>
            </w:pPr>
            <w:r w:rsidRPr="00760E0A">
              <w:rPr>
                <w:sz w:val="22"/>
                <w:szCs w:val="22"/>
              </w:rPr>
              <w:t>Uses appropriate and relevant content to develop and explore ideas through most of the work.</w:t>
            </w:r>
          </w:p>
          <w:p w14:paraId="078F4CCD" w14:textId="77777777" w:rsidR="002E1C7B" w:rsidRPr="00760E0A" w:rsidRDefault="002E1C7B" w:rsidP="00CD33EB">
            <w:pPr>
              <w:rPr>
                <w:sz w:val="22"/>
                <w:szCs w:val="22"/>
              </w:rPr>
            </w:pPr>
          </w:p>
        </w:tc>
        <w:tc>
          <w:tcPr>
            <w:tcW w:w="3035" w:type="dxa"/>
          </w:tcPr>
          <w:p w14:paraId="1F81FB83" w14:textId="77777777" w:rsidR="002E1C7B" w:rsidRPr="00760E0A" w:rsidRDefault="002E1C7B" w:rsidP="00CD33EB">
            <w:pPr>
              <w:rPr>
                <w:sz w:val="22"/>
                <w:szCs w:val="22"/>
              </w:rPr>
            </w:pPr>
            <w:r w:rsidRPr="00760E0A">
              <w:rPr>
                <w:sz w:val="22"/>
                <w:szCs w:val="22"/>
              </w:rPr>
              <w:t>Uses appropriate and relevant content to develop simple ideas in some parts of the work.</w:t>
            </w:r>
          </w:p>
          <w:p w14:paraId="589A9C6B" w14:textId="77777777" w:rsidR="002E1C7B" w:rsidRPr="00760E0A" w:rsidRDefault="002E1C7B" w:rsidP="00CD33EB">
            <w:pPr>
              <w:rPr>
                <w:sz w:val="22"/>
                <w:szCs w:val="22"/>
              </w:rPr>
            </w:pPr>
          </w:p>
        </w:tc>
      </w:tr>
      <w:tr w:rsidR="002E1C7B" w:rsidRPr="00760E0A" w14:paraId="1C7A78CB" w14:textId="77777777" w:rsidTr="00CD33EB">
        <w:tc>
          <w:tcPr>
            <w:tcW w:w="3176" w:type="dxa"/>
          </w:tcPr>
          <w:p w14:paraId="57BA39B0" w14:textId="77777777" w:rsidR="002E1C7B" w:rsidRPr="00760E0A" w:rsidRDefault="002E1C7B" w:rsidP="00CD33EB">
            <w:pPr>
              <w:rPr>
                <w:sz w:val="22"/>
                <w:szCs w:val="22"/>
              </w:rPr>
            </w:pPr>
            <w:r w:rsidRPr="00760E0A">
              <w:rPr>
                <w:sz w:val="22"/>
                <w:szCs w:val="22"/>
              </w:rPr>
              <w:t>Sources and Evidence</w:t>
            </w:r>
          </w:p>
          <w:p w14:paraId="1E43E9D5" w14:textId="77777777" w:rsidR="002E1C7B" w:rsidRPr="00760E0A" w:rsidRDefault="002E1C7B" w:rsidP="00CD33EB">
            <w:pPr>
              <w:rPr>
                <w:sz w:val="22"/>
                <w:szCs w:val="22"/>
              </w:rPr>
            </w:pPr>
          </w:p>
        </w:tc>
        <w:tc>
          <w:tcPr>
            <w:tcW w:w="2270" w:type="dxa"/>
          </w:tcPr>
          <w:p w14:paraId="2E6E6280" w14:textId="77777777" w:rsidR="002E1C7B" w:rsidRPr="00760E0A" w:rsidRDefault="002E1C7B" w:rsidP="00CD33EB">
            <w:pPr>
              <w:rPr>
                <w:sz w:val="22"/>
                <w:szCs w:val="22"/>
              </w:rPr>
            </w:pPr>
            <w:r w:rsidRPr="00760E0A">
              <w:rPr>
                <w:sz w:val="22"/>
                <w:szCs w:val="22"/>
              </w:rPr>
              <w:t>Demonstrates skillful use of high-quality, credible, relevant sources to develop ideas that are appropriate to philosophy and genre of the writing.</w:t>
            </w:r>
          </w:p>
        </w:tc>
        <w:tc>
          <w:tcPr>
            <w:tcW w:w="2547" w:type="dxa"/>
          </w:tcPr>
          <w:p w14:paraId="5BC5A556" w14:textId="77777777" w:rsidR="002E1C7B" w:rsidRPr="00760E0A" w:rsidRDefault="002E1C7B" w:rsidP="00CD33EB">
            <w:pPr>
              <w:rPr>
                <w:sz w:val="22"/>
                <w:szCs w:val="22"/>
              </w:rPr>
            </w:pPr>
            <w:r w:rsidRPr="00760E0A">
              <w:rPr>
                <w:sz w:val="22"/>
                <w:szCs w:val="22"/>
              </w:rPr>
              <w:t>Demonstrates consistent use of credible, relevant sources to support ideas that are situated within philosophy and genre of the writing.</w:t>
            </w:r>
          </w:p>
          <w:p w14:paraId="4864B01B" w14:textId="77777777" w:rsidR="002E1C7B" w:rsidRPr="00760E0A" w:rsidRDefault="002E1C7B" w:rsidP="00CD33EB">
            <w:pPr>
              <w:rPr>
                <w:sz w:val="22"/>
                <w:szCs w:val="22"/>
              </w:rPr>
            </w:pPr>
          </w:p>
        </w:tc>
        <w:tc>
          <w:tcPr>
            <w:tcW w:w="3367" w:type="dxa"/>
          </w:tcPr>
          <w:p w14:paraId="59C4C9CF" w14:textId="77777777" w:rsidR="002E1C7B" w:rsidRPr="00760E0A" w:rsidRDefault="002E1C7B" w:rsidP="00CD33EB">
            <w:pPr>
              <w:rPr>
                <w:sz w:val="22"/>
                <w:szCs w:val="22"/>
              </w:rPr>
            </w:pPr>
            <w:r w:rsidRPr="00760E0A">
              <w:rPr>
                <w:sz w:val="22"/>
                <w:szCs w:val="22"/>
              </w:rPr>
              <w:t>Demonstrates an attempt to use credible and/or relevant sources to support ideas that are appropriate for philosophy and genre of the writing.</w:t>
            </w:r>
          </w:p>
          <w:p w14:paraId="6D7EE768" w14:textId="77777777" w:rsidR="002E1C7B" w:rsidRPr="00760E0A" w:rsidRDefault="002E1C7B" w:rsidP="00CD33EB">
            <w:pPr>
              <w:rPr>
                <w:sz w:val="22"/>
                <w:szCs w:val="22"/>
              </w:rPr>
            </w:pPr>
          </w:p>
        </w:tc>
        <w:tc>
          <w:tcPr>
            <w:tcW w:w="3035" w:type="dxa"/>
          </w:tcPr>
          <w:p w14:paraId="38807F7C" w14:textId="77777777" w:rsidR="002E1C7B" w:rsidRPr="00760E0A" w:rsidRDefault="002E1C7B" w:rsidP="00CD33EB">
            <w:pPr>
              <w:rPr>
                <w:sz w:val="22"/>
                <w:szCs w:val="22"/>
              </w:rPr>
            </w:pPr>
            <w:r w:rsidRPr="00760E0A">
              <w:rPr>
                <w:sz w:val="22"/>
                <w:szCs w:val="22"/>
              </w:rPr>
              <w:t xml:space="preserve">Demonstrates an attempt to use sources to support ideas in the writing. </w:t>
            </w:r>
          </w:p>
          <w:p w14:paraId="34A797E2" w14:textId="77777777" w:rsidR="002E1C7B" w:rsidRPr="00760E0A" w:rsidRDefault="002E1C7B" w:rsidP="00CD33EB">
            <w:pPr>
              <w:rPr>
                <w:sz w:val="22"/>
                <w:szCs w:val="22"/>
              </w:rPr>
            </w:pPr>
          </w:p>
        </w:tc>
      </w:tr>
      <w:tr w:rsidR="002E1C7B" w:rsidRPr="00760E0A" w14:paraId="797BFB8A" w14:textId="77777777" w:rsidTr="00CD33EB">
        <w:tc>
          <w:tcPr>
            <w:tcW w:w="3176" w:type="dxa"/>
          </w:tcPr>
          <w:p w14:paraId="2178C65C" w14:textId="77777777" w:rsidR="002E1C7B" w:rsidRPr="00760E0A" w:rsidRDefault="002E1C7B" w:rsidP="00CD33EB">
            <w:pPr>
              <w:rPr>
                <w:sz w:val="22"/>
                <w:szCs w:val="22"/>
              </w:rPr>
            </w:pPr>
            <w:r w:rsidRPr="00760E0A">
              <w:rPr>
                <w:sz w:val="22"/>
                <w:szCs w:val="22"/>
              </w:rPr>
              <w:t xml:space="preserve">Control of Syntax and Mechanics </w:t>
            </w:r>
          </w:p>
          <w:p w14:paraId="315E7D42" w14:textId="77777777" w:rsidR="002E1C7B" w:rsidRPr="00760E0A" w:rsidRDefault="002E1C7B" w:rsidP="00CD33EB">
            <w:pPr>
              <w:rPr>
                <w:sz w:val="22"/>
                <w:szCs w:val="22"/>
              </w:rPr>
            </w:pPr>
          </w:p>
        </w:tc>
        <w:tc>
          <w:tcPr>
            <w:tcW w:w="2270" w:type="dxa"/>
          </w:tcPr>
          <w:p w14:paraId="10F80B8B" w14:textId="77777777" w:rsidR="002E1C7B" w:rsidRPr="00760E0A" w:rsidRDefault="002E1C7B" w:rsidP="00CD33EB">
            <w:pPr>
              <w:rPr>
                <w:sz w:val="22"/>
                <w:szCs w:val="22"/>
              </w:rPr>
            </w:pPr>
            <w:r w:rsidRPr="00760E0A">
              <w:rPr>
                <w:sz w:val="22"/>
                <w:szCs w:val="22"/>
              </w:rPr>
              <w:t xml:space="preserve">Uses graceful language that skillfully communicates meaning to readers with clarity and </w:t>
            </w:r>
            <w:proofErr w:type="gramStart"/>
            <w:r w:rsidRPr="00760E0A">
              <w:rPr>
                <w:sz w:val="22"/>
                <w:szCs w:val="22"/>
              </w:rPr>
              <w:t>fluency, and</w:t>
            </w:r>
            <w:proofErr w:type="gramEnd"/>
            <w:r w:rsidRPr="00760E0A">
              <w:rPr>
                <w:sz w:val="22"/>
                <w:szCs w:val="22"/>
              </w:rPr>
              <w:t xml:space="preserve"> is virtually error-free.</w:t>
            </w:r>
          </w:p>
        </w:tc>
        <w:tc>
          <w:tcPr>
            <w:tcW w:w="2547" w:type="dxa"/>
          </w:tcPr>
          <w:p w14:paraId="16DFA0AD" w14:textId="77777777" w:rsidR="002E1C7B" w:rsidRPr="00760E0A" w:rsidRDefault="002E1C7B" w:rsidP="00CD33EB">
            <w:pPr>
              <w:rPr>
                <w:sz w:val="22"/>
                <w:szCs w:val="22"/>
              </w:rPr>
            </w:pPr>
            <w:r w:rsidRPr="00760E0A">
              <w:rPr>
                <w:sz w:val="22"/>
                <w:szCs w:val="22"/>
              </w:rPr>
              <w:t>Uses straightforward language that generally conveys meaning to readers. The writing has few errors.</w:t>
            </w:r>
          </w:p>
          <w:p w14:paraId="1C23C3C6" w14:textId="77777777" w:rsidR="002E1C7B" w:rsidRPr="00760E0A" w:rsidRDefault="002E1C7B" w:rsidP="00CD33EB">
            <w:pPr>
              <w:rPr>
                <w:sz w:val="22"/>
                <w:szCs w:val="22"/>
              </w:rPr>
            </w:pPr>
          </w:p>
        </w:tc>
        <w:tc>
          <w:tcPr>
            <w:tcW w:w="3367" w:type="dxa"/>
          </w:tcPr>
          <w:p w14:paraId="231A3BE1" w14:textId="77777777" w:rsidR="002E1C7B" w:rsidRPr="00760E0A" w:rsidRDefault="002E1C7B" w:rsidP="00CD33EB">
            <w:pPr>
              <w:rPr>
                <w:sz w:val="22"/>
                <w:szCs w:val="22"/>
              </w:rPr>
            </w:pPr>
            <w:r w:rsidRPr="00760E0A">
              <w:rPr>
                <w:sz w:val="22"/>
                <w:szCs w:val="22"/>
              </w:rPr>
              <w:t>Uses language that generally conveys meaning to readers with clarity, although writing may include some errors.</w:t>
            </w:r>
          </w:p>
          <w:p w14:paraId="4077DC03" w14:textId="77777777" w:rsidR="002E1C7B" w:rsidRPr="00760E0A" w:rsidRDefault="002E1C7B" w:rsidP="00CD33EB">
            <w:pPr>
              <w:rPr>
                <w:sz w:val="22"/>
                <w:szCs w:val="22"/>
              </w:rPr>
            </w:pPr>
          </w:p>
        </w:tc>
        <w:tc>
          <w:tcPr>
            <w:tcW w:w="3035" w:type="dxa"/>
          </w:tcPr>
          <w:p w14:paraId="51403E8C" w14:textId="77777777" w:rsidR="002E1C7B" w:rsidRPr="00760E0A" w:rsidRDefault="002E1C7B" w:rsidP="00CD33EB">
            <w:pPr>
              <w:rPr>
                <w:sz w:val="22"/>
                <w:szCs w:val="22"/>
              </w:rPr>
            </w:pPr>
            <w:r w:rsidRPr="00760E0A">
              <w:rPr>
                <w:sz w:val="22"/>
                <w:szCs w:val="22"/>
              </w:rPr>
              <w:t xml:space="preserve">Uses language that sometimes impedes meaning because of errors in usage. </w:t>
            </w:r>
          </w:p>
          <w:p w14:paraId="28AC6A6F" w14:textId="77777777" w:rsidR="002E1C7B" w:rsidRPr="00760E0A" w:rsidRDefault="002E1C7B" w:rsidP="00CD33EB">
            <w:pPr>
              <w:rPr>
                <w:sz w:val="22"/>
                <w:szCs w:val="22"/>
              </w:rPr>
            </w:pPr>
          </w:p>
        </w:tc>
      </w:tr>
    </w:tbl>
    <w:p w14:paraId="246DC775" w14:textId="77777777" w:rsidR="002E1C7B" w:rsidRPr="00760E0A" w:rsidRDefault="002E1C7B" w:rsidP="002E1C7B">
      <w:pPr>
        <w:rPr>
          <w:sz w:val="22"/>
          <w:szCs w:val="22"/>
        </w:rPr>
      </w:pPr>
    </w:p>
    <w:p w14:paraId="7E485A64" w14:textId="6A76C6B6" w:rsidR="00F136C3" w:rsidRDefault="00F136C3">
      <w:pPr>
        <w:rPr>
          <w:sz w:val="22"/>
          <w:szCs w:val="22"/>
        </w:rPr>
      </w:pPr>
    </w:p>
    <w:p w14:paraId="69B22568" w14:textId="06CBF901" w:rsidR="009E1A73" w:rsidRDefault="009E1A73">
      <w:pPr>
        <w:rPr>
          <w:sz w:val="22"/>
          <w:szCs w:val="22"/>
        </w:rPr>
      </w:pPr>
    </w:p>
    <w:p w14:paraId="117145B1" w14:textId="37F40727" w:rsidR="009E1A73" w:rsidRDefault="009E1A73" w:rsidP="009E1A73">
      <w:pPr>
        <w:rPr>
          <w:sz w:val="22"/>
          <w:szCs w:val="22"/>
        </w:rPr>
      </w:pPr>
    </w:p>
    <w:p w14:paraId="27C327A7" w14:textId="77777777" w:rsidR="009E1A73" w:rsidRPr="00760E0A" w:rsidRDefault="009E1A73" w:rsidP="009E1A73">
      <w:pPr>
        <w:rPr>
          <w:sz w:val="22"/>
          <w:szCs w:val="22"/>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2520"/>
      </w:tblGrid>
      <w:tr w:rsidR="009E1A73" w:rsidRPr="00760E0A" w14:paraId="1A3EA942" w14:textId="77777777" w:rsidTr="00CD33EB">
        <w:trPr>
          <w:trHeight w:val="144"/>
        </w:trPr>
        <w:tc>
          <w:tcPr>
            <w:tcW w:w="14395" w:type="dxa"/>
            <w:gridSpan w:val="5"/>
            <w:shd w:val="pct10" w:color="auto" w:fill="auto"/>
            <w:tcMar>
              <w:top w:w="100" w:type="nil"/>
              <w:right w:w="100" w:type="nil"/>
            </w:tcMar>
          </w:tcPr>
          <w:p w14:paraId="418B5B69" w14:textId="77777777" w:rsidR="009E1A73" w:rsidRPr="00760E0A" w:rsidRDefault="009E1A73" w:rsidP="00CD33EB">
            <w:pPr>
              <w:widowControl w:val="0"/>
              <w:autoSpaceDE w:val="0"/>
              <w:autoSpaceDN w:val="0"/>
              <w:adjustRightInd w:val="0"/>
              <w:jc w:val="center"/>
              <w:rPr>
                <w:b/>
                <w:bCs/>
                <w:sz w:val="22"/>
                <w:szCs w:val="22"/>
              </w:rPr>
            </w:pPr>
            <w:r w:rsidRPr="00760E0A">
              <w:rPr>
                <w:b/>
                <w:bCs/>
                <w:sz w:val="22"/>
                <w:szCs w:val="22"/>
              </w:rPr>
              <w:lastRenderedPageBreak/>
              <w:t>Student Learning Outcome 3</w:t>
            </w:r>
          </w:p>
        </w:tc>
      </w:tr>
      <w:tr w:rsidR="009E1A73" w:rsidRPr="00760E0A" w14:paraId="51FD303B" w14:textId="77777777" w:rsidTr="00CD33EB">
        <w:trPr>
          <w:trHeight w:val="323"/>
        </w:trPr>
        <w:tc>
          <w:tcPr>
            <w:tcW w:w="2875" w:type="dxa"/>
            <w:tcBorders>
              <w:bottom w:val="single" w:sz="4" w:space="0" w:color="auto"/>
            </w:tcBorders>
            <w:shd w:val="clear" w:color="auto" w:fill="auto"/>
            <w:tcMar>
              <w:top w:w="100" w:type="nil"/>
              <w:right w:w="100" w:type="nil"/>
            </w:tcMar>
          </w:tcPr>
          <w:p w14:paraId="70F001D8" w14:textId="77777777" w:rsidR="009E1A73" w:rsidRPr="00760E0A" w:rsidRDefault="009E1A73" w:rsidP="00CD33EB">
            <w:pPr>
              <w:widowControl w:val="0"/>
              <w:autoSpaceDE w:val="0"/>
              <w:autoSpaceDN w:val="0"/>
              <w:adjustRightInd w:val="0"/>
              <w:rPr>
                <w:b/>
                <w:bCs/>
                <w:sz w:val="22"/>
                <w:szCs w:val="22"/>
              </w:rPr>
            </w:pPr>
            <w:r w:rsidRPr="00760E0A">
              <w:rPr>
                <w:b/>
                <w:bCs/>
                <w:sz w:val="22"/>
                <w:szCs w:val="22"/>
              </w:rPr>
              <w:t xml:space="preserve">Student Learning Outcome </w:t>
            </w:r>
          </w:p>
        </w:tc>
        <w:tc>
          <w:tcPr>
            <w:tcW w:w="11520" w:type="dxa"/>
            <w:gridSpan w:val="4"/>
            <w:tcBorders>
              <w:bottom w:val="single" w:sz="4" w:space="0" w:color="auto"/>
            </w:tcBorders>
            <w:shd w:val="clear" w:color="auto" w:fill="auto"/>
            <w:tcMar>
              <w:top w:w="100" w:type="nil"/>
              <w:right w:w="100" w:type="nil"/>
            </w:tcMar>
          </w:tcPr>
          <w:p w14:paraId="4283B680" w14:textId="114725B5" w:rsidR="009E1A73" w:rsidRPr="00760E0A" w:rsidRDefault="009E1A73" w:rsidP="00CD33EB">
            <w:pPr>
              <w:widowControl w:val="0"/>
              <w:autoSpaceDE w:val="0"/>
              <w:autoSpaceDN w:val="0"/>
              <w:adjustRightInd w:val="0"/>
              <w:rPr>
                <w:bCs/>
                <w:color w:val="767171" w:themeColor="background2" w:themeShade="80"/>
                <w:sz w:val="22"/>
                <w:szCs w:val="22"/>
              </w:rPr>
            </w:pPr>
            <w:r w:rsidRPr="00760E0A">
              <w:rPr>
                <w:sz w:val="22"/>
                <w:szCs w:val="22"/>
              </w:rPr>
              <w:t>Students will demonstrate global and/or intercultural learning in th</w:t>
            </w:r>
            <w:r w:rsidR="007503E9">
              <w:rPr>
                <w:sz w:val="22"/>
                <w:szCs w:val="22"/>
              </w:rPr>
              <w:t>ei</w:t>
            </w:r>
            <w:r w:rsidRPr="00760E0A">
              <w:rPr>
                <w:sz w:val="22"/>
                <w:szCs w:val="22"/>
              </w:rPr>
              <w:t>r written communication.</w:t>
            </w:r>
          </w:p>
        </w:tc>
      </w:tr>
      <w:tr w:rsidR="009E1A73" w:rsidRPr="00760E0A" w14:paraId="17214E24" w14:textId="77777777" w:rsidTr="00CD33EB">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9301834" w14:textId="77777777" w:rsidR="009E1A73" w:rsidRPr="00760E0A" w:rsidRDefault="009E1A73" w:rsidP="00CD33EB">
            <w:pPr>
              <w:widowControl w:val="0"/>
              <w:autoSpaceDE w:val="0"/>
              <w:autoSpaceDN w:val="0"/>
              <w:adjustRightInd w:val="0"/>
              <w:rPr>
                <w:bCs/>
                <w:sz w:val="22"/>
                <w:szCs w:val="22"/>
              </w:rPr>
            </w:pPr>
            <w:r w:rsidRPr="00760E0A">
              <w:rPr>
                <w:b/>
                <w:bCs/>
                <w:sz w:val="22"/>
                <w:szCs w:val="22"/>
              </w:rPr>
              <w:t>Measurement Instrument 1</w:t>
            </w:r>
          </w:p>
        </w:tc>
        <w:tc>
          <w:tcPr>
            <w:tcW w:w="11520" w:type="dxa"/>
            <w:gridSpan w:val="4"/>
            <w:tcBorders>
              <w:top w:val="single" w:sz="4" w:space="0" w:color="auto"/>
              <w:left w:val="single" w:sz="4" w:space="0" w:color="auto"/>
              <w:right w:val="single" w:sz="4" w:space="0" w:color="auto"/>
            </w:tcBorders>
            <w:shd w:val="pct12" w:color="auto" w:fill="auto"/>
            <w:tcMar>
              <w:top w:w="100" w:type="nil"/>
              <w:right w:w="100" w:type="nil"/>
            </w:tcMar>
          </w:tcPr>
          <w:p w14:paraId="451D7BC0" w14:textId="77777777" w:rsidR="009E1A73" w:rsidRPr="00760E0A" w:rsidRDefault="009E1A73" w:rsidP="00CD33EB">
            <w:pPr>
              <w:widowControl w:val="0"/>
              <w:autoSpaceDE w:val="0"/>
              <w:autoSpaceDN w:val="0"/>
              <w:adjustRightInd w:val="0"/>
              <w:rPr>
                <w:b/>
                <w:bCs/>
                <w:sz w:val="22"/>
                <w:szCs w:val="22"/>
              </w:rPr>
            </w:pPr>
            <w:r w:rsidRPr="00760E0A">
              <w:rPr>
                <w:sz w:val="22"/>
                <w:szCs w:val="22"/>
              </w:rPr>
              <w:t>Direct: Analysis of Senior Seminar papers</w:t>
            </w:r>
          </w:p>
        </w:tc>
      </w:tr>
      <w:tr w:rsidR="009E1A73" w:rsidRPr="00760E0A" w14:paraId="15E4DB69" w14:textId="77777777" w:rsidTr="00CD33EB">
        <w:trPr>
          <w:trHeight w:val="512"/>
        </w:trPr>
        <w:tc>
          <w:tcPr>
            <w:tcW w:w="2875" w:type="dxa"/>
            <w:tcBorders>
              <w:left w:val="single" w:sz="4" w:space="0" w:color="auto"/>
            </w:tcBorders>
            <w:shd w:val="pct12" w:color="auto" w:fill="auto"/>
            <w:tcMar>
              <w:top w:w="100" w:type="nil"/>
              <w:right w:w="100" w:type="nil"/>
            </w:tcMar>
          </w:tcPr>
          <w:p w14:paraId="73BF894D" w14:textId="77777777" w:rsidR="009E1A73" w:rsidRPr="00760E0A" w:rsidRDefault="009E1A73" w:rsidP="00CD33EB">
            <w:pPr>
              <w:widowControl w:val="0"/>
              <w:autoSpaceDE w:val="0"/>
              <w:autoSpaceDN w:val="0"/>
              <w:adjustRightInd w:val="0"/>
              <w:rPr>
                <w:b/>
                <w:sz w:val="22"/>
                <w:szCs w:val="22"/>
              </w:rPr>
            </w:pPr>
            <w:r w:rsidRPr="00760E0A">
              <w:rPr>
                <w:b/>
                <w:sz w:val="22"/>
                <w:szCs w:val="22"/>
              </w:rPr>
              <w:t>Criteria for Student Success</w:t>
            </w:r>
          </w:p>
        </w:tc>
        <w:tc>
          <w:tcPr>
            <w:tcW w:w="11520" w:type="dxa"/>
            <w:gridSpan w:val="4"/>
            <w:tcBorders>
              <w:right w:val="single" w:sz="4" w:space="0" w:color="auto"/>
            </w:tcBorders>
            <w:shd w:val="pct12" w:color="auto" w:fill="auto"/>
            <w:tcMar>
              <w:top w:w="100" w:type="nil"/>
              <w:right w:w="100" w:type="nil"/>
            </w:tcMar>
          </w:tcPr>
          <w:p w14:paraId="16034117" w14:textId="77777777" w:rsidR="009E1A73" w:rsidRPr="00760E0A" w:rsidRDefault="009E1A73" w:rsidP="00CD33EB">
            <w:pPr>
              <w:rPr>
                <w:sz w:val="22"/>
                <w:szCs w:val="22"/>
              </w:rPr>
            </w:pPr>
            <w:r w:rsidRPr="00760E0A">
              <w:rPr>
                <w:sz w:val="22"/>
                <w:szCs w:val="22"/>
              </w:rPr>
              <w:t>Drawing from AAC&amp;U VALUES rubric for intercultural knowledge and competence and global learning, criteria for student success is capstone level or upper milestone level with respect to knowledge of cultural worldview frameworks, perspective taking, and curiosity.</w:t>
            </w:r>
          </w:p>
        </w:tc>
      </w:tr>
      <w:tr w:rsidR="009E1A73" w:rsidRPr="00760E0A" w14:paraId="54B651B5" w14:textId="77777777" w:rsidTr="00CD33EB">
        <w:tc>
          <w:tcPr>
            <w:tcW w:w="4315" w:type="dxa"/>
            <w:gridSpan w:val="2"/>
            <w:tcBorders>
              <w:left w:val="single" w:sz="4" w:space="0" w:color="auto"/>
              <w:bottom w:val="single" w:sz="4" w:space="0" w:color="auto"/>
            </w:tcBorders>
            <w:shd w:val="pct12" w:color="auto" w:fill="auto"/>
            <w:tcMar>
              <w:top w:w="100" w:type="nil"/>
              <w:right w:w="100" w:type="nil"/>
            </w:tcMar>
          </w:tcPr>
          <w:p w14:paraId="07C20CA3" w14:textId="77777777" w:rsidR="009E1A73" w:rsidRPr="00760E0A" w:rsidRDefault="009E1A73" w:rsidP="00CD33EB">
            <w:pPr>
              <w:widowControl w:val="0"/>
              <w:autoSpaceDE w:val="0"/>
              <w:autoSpaceDN w:val="0"/>
              <w:adjustRightInd w:val="0"/>
              <w:jc w:val="center"/>
              <w:rPr>
                <w:b/>
                <w:sz w:val="22"/>
                <w:szCs w:val="22"/>
              </w:rPr>
            </w:pPr>
            <w:r w:rsidRPr="00760E0A">
              <w:rPr>
                <w:b/>
                <w:sz w:val="22"/>
                <w:szCs w:val="22"/>
              </w:rPr>
              <w:t>Program Success Target for this Measurement</w:t>
            </w:r>
          </w:p>
          <w:p w14:paraId="3A6B7340" w14:textId="77777777" w:rsidR="009E1A73" w:rsidRPr="00760E0A" w:rsidRDefault="009E1A73" w:rsidP="00CD33EB">
            <w:pPr>
              <w:widowControl w:val="0"/>
              <w:autoSpaceDE w:val="0"/>
              <w:autoSpaceDN w:val="0"/>
              <w:adjustRightInd w:val="0"/>
              <w:rPr>
                <w:sz w:val="22"/>
                <w:szCs w:val="22"/>
              </w:rPr>
            </w:pPr>
          </w:p>
        </w:tc>
        <w:tc>
          <w:tcPr>
            <w:tcW w:w="4050" w:type="dxa"/>
            <w:tcBorders>
              <w:bottom w:val="single" w:sz="4" w:space="0" w:color="auto"/>
            </w:tcBorders>
            <w:shd w:val="pct12" w:color="auto" w:fill="auto"/>
          </w:tcPr>
          <w:p w14:paraId="47313444" w14:textId="42C30B4F" w:rsidR="009E1A73" w:rsidRPr="00760E0A" w:rsidRDefault="009E1A73" w:rsidP="00CD33EB">
            <w:pPr>
              <w:widowControl w:val="0"/>
              <w:autoSpaceDE w:val="0"/>
              <w:autoSpaceDN w:val="0"/>
              <w:adjustRightInd w:val="0"/>
              <w:rPr>
                <w:sz w:val="22"/>
                <w:szCs w:val="22"/>
              </w:rPr>
            </w:pPr>
            <w:r>
              <w:rPr>
                <w:b/>
                <w:sz w:val="22"/>
                <w:szCs w:val="22"/>
              </w:rPr>
              <w:t>75</w:t>
            </w:r>
            <w:r w:rsidRPr="00760E0A">
              <w:rPr>
                <w:b/>
                <w:sz w:val="22"/>
                <w:szCs w:val="22"/>
              </w:rPr>
              <w:t>%</w:t>
            </w:r>
          </w:p>
        </w:tc>
        <w:tc>
          <w:tcPr>
            <w:tcW w:w="3510" w:type="dxa"/>
            <w:tcBorders>
              <w:bottom w:val="single" w:sz="4" w:space="0" w:color="auto"/>
            </w:tcBorders>
            <w:shd w:val="pct12" w:color="auto" w:fill="auto"/>
            <w:tcMar>
              <w:top w:w="100" w:type="nil"/>
              <w:right w:w="100" w:type="nil"/>
            </w:tcMar>
          </w:tcPr>
          <w:p w14:paraId="45AF029F" w14:textId="77777777" w:rsidR="009E1A73" w:rsidRPr="00760E0A" w:rsidRDefault="009E1A73" w:rsidP="00CD33EB">
            <w:pPr>
              <w:widowControl w:val="0"/>
              <w:autoSpaceDE w:val="0"/>
              <w:autoSpaceDN w:val="0"/>
              <w:adjustRightInd w:val="0"/>
              <w:jc w:val="right"/>
              <w:rPr>
                <w:b/>
                <w:sz w:val="22"/>
                <w:szCs w:val="22"/>
              </w:rPr>
            </w:pPr>
            <w:r w:rsidRPr="00760E0A">
              <w:rPr>
                <w:b/>
                <w:sz w:val="22"/>
                <w:szCs w:val="22"/>
              </w:rPr>
              <w:t>Percent of Program Achieving Target</w:t>
            </w:r>
          </w:p>
        </w:tc>
        <w:tc>
          <w:tcPr>
            <w:tcW w:w="2520" w:type="dxa"/>
            <w:tcBorders>
              <w:bottom w:val="single" w:sz="4" w:space="0" w:color="auto"/>
              <w:right w:val="single" w:sz="4" w:space="0" w:color="auto"/>
            </w:tcBorders>
            <w:shd w:val="pct12" w:color="auto" w:fill="auto"/>
            <w:tcMar>
              <w:top w:w="100" w:type="nil"/>
              <w:right w:w="100" w:type="nil"/>
            </w:tcMar>
          </w:tcPr>
          <w:p w14:paraId="66047982" w14:textId="77777777" w:rsidR="009E1A73" w:rsidRPr="00760E0A" w:rsidRDefault="009E1A73" w:rsidP="00CD33EB">
            <w:pPr>
              <w:widowControl w:val="0"/>
              <w:autoSpaceDE w:val="0"/>
              <w:autoSpaceDN w:val="0"/>
              <w:adjustRightInd w:val="0"/>
              <w:rPr>
                <w:color w:val="767171" w:themeColor="background2" w:themeShade="80"/>
                <w:sz w:val="22"/>
                <w:szCs w:val="22"/>
              </w:rPr>
            </w:pPr>
            <w:r w:rsidRPr="00760E0A">
              <w:rPr>
                <w:b/>
                <w:sz w:val="22"/>
                <w:szCs w:val="22"/>
              </w:rPr>
              <w:t>100%</w:t>
            </w:r>
          </w:p>
        </w:tc>
      </w:tr>
      <w:tr w:rsidR="009E1A73" w:rsidRPr="00760E0A" w14:paraId="1818F4F7" w14:textId="77777777" w:rsidTr="00CD33EB">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6972A7" w14:textId="77777777" w:rsidR="009E1A73" w:rsidRPr="00760E0A" w:rsidRDefault="009E1A73" w:rsidP="00CD33EB">
            <w:pPr>
              <w:widowControl w:val="0"/>
              <w:autoSpaceDE w:val="0"/>
              <w:autoSpaceDN w:val="0"/>
              <w:adjustRightInd w:val="0"/>
              <w:rPr>
                <w:b/>
                <w:sz w:val="22"/>
                <w:szCs w:val="22"/>
              </w:rPr>
            </w:pPr>
            <w:r w:rsidRPr="00760E0A">
              <w:rPr>
                <w:b/>
                <w:sz w:val="22"/>
                <w:szCs w:val="22"/>
              </w:rPr>
              <w:t>Methods</w:t>
            </w:r>
          </w:p>
          <w:p w14:paraId="75607211" w14:textId="77777777" w:rsidR="009E1A73" w:rsidRPr="00760E0A" w:rsidRDefault="009E1A73" w:rsidP="00CD33EB">
            <w:pPr>
              <w:widowControl w:val="0"/>
              <w:autoSpaceDE w:val="0"/>
              <w:autoSpaceDN w:val="0"/>
              <w:adjustRightInd w:val="0"/>
              <w:rPr>
                <w:b/>
                <w:bCs/>
                <w:sz w:val="22"/>
                <w:szCs w:val="22"/>
              </w:rPr>
            </w:pPr>
          </w:p>
        </w:tc>
        <w:tc>
          <w:tcPr>
            <w:tcW w:w="11520" w:type="dxa"/>
            <w:gridSpan w:val="4"/>
            <w:tcBorders>
              <w:left w:val="single" w:sz="4" w:space="0" w:color="auto"/>
              <w:bottom w:val="single" w:sz="4" w:space="0" w:color="auto"/>
              <w:right w:val="single" w:sz="4" w:space="0" w:color="auto"/>
            </w:tcBorders>
            <w:shd w:val="pct12" w:color="auto" w:fill="auto"/>
            <w:tcMar>
              <w:top w:w="100" w:type="nil"/>
              <w:right w:w="100" w:type="nil"/>
            </w:tcMar>
          </w:tcPr>
          <w:p w14:paraId="1004EAB1" w14:textId="373F3EBC" w:rsidR="009E1A73" w:rsidRPr="00760E0A" w:rsidRDefault="009E1A73" w:rsidP="00CD33EB">
            <w:pPr>
              <w:widowControl w:val="0"/>
              <w:autoSpaceDE w:val="0"/>
              <w:autoSpaceDN w:val="0"/>
              <w:adjustRightInd w:val="0"/>
              <w:rPr>
                <w:bCs/>
                <w:color w:val="000000" w:themeColor="text1"/>
                <w:sz w:val="22"/>
                <w:szCs w:val="22"/>
              </w:rPr>
            </w:pPr>
            <w:r w:rsidRPr="00760E0A">
              <w:rPr>
                <w:bCs/>
                <w:color w:val="000000" w:themeColor="text1"/>
                <w:sz w:val="22"/>
                <w:szCs w:val="22"/>
              </w:rPr>
              <w:t>Direct: Artifacts from the senior seminar capstone course final paper were collected from all students in the course (</w:t>
            </w:r>
            <w:r w:rsidRPr="00760E0A">
              <w:rPr>
                <w:bCs/>
                <w:i/>
                <w:iCs/>
                <w:color w:val="000000" w:themeColor="text1"/>
                <w:sz w:val="22"/>
                <w:szCs w:val="22"/>
              </w:rPr>
              <w:t>N</w:t>
            </w:r>
            <w:r w:rsidRPr="00760E0A">
              <w:rPr>
                <w:bCs/>
                <w:color w:val="000000" w:themeColor="text1"/>
                <w:sz w:val="22"/>
                <w:szCs w:val="22"/>
              </w:rPr>
              <w:t xml:space="preserve"> = </w:t>
            </w:r>
            <w:r>
              <w:rPr>
                <w:bCs/>
                <w:color w:val="000000" w:themeColor="text1"/>
                <w:sz w:val="22"/>
                <w:szCs w:val="22"/>
              </w:rPr>
              <w:t>3</w:t>
            </w:r>
            <w:r w:rsidRPr="00760E0A">
              <w:rPr>
                <w:bCs/>
                <w:color w:val="000000" w:themeColor="text1"/>
                <w:sz w:val="22"/>
                <w:szCs w:val="22"/>
              </w:rPr>
              <w:t>) and all identifiers removed. All papers were assessed. The papers were split among two full-time faculty so that each paper was read twice by two different reviewers. In the event there was a notable difference in the score between the two faculty members, a third faculty member read the paper and the score</w:t>
            </w:r>
            <w:r w:rsidR="007503E9">
              <w:rPr>
                <w:bCs/>
                <w:color w:val="000000" w:themeColor="text1"/>
                <w:sz w:val="22"/>
                <w:szCs w:val="22"/>
              </w:rPr>
              <w:t>s</w:t>
            </w:r>
            <w:r w:rsidRPr="00760E0A">
              <w:rPr>
                <w:bCs/>
                <w:color w:val="000000" w:themeColor="text1"/>
                <w:sz w:val="22"/>
                <w:szCs w:val="22"/>
              </w:rPr>
              <w:t xml:space="preserve"> of all three readers w</w:t>
            </w:r>
            <w:r w:rsidR="007503E9">
              <w:rPr>
                <w:bCs/>
                <w:color w:val="000000" w:themeColor="text1"/>
                <w:sz w:val="22"/>
                <w:szCs w:val="22"/>
              </w:rPr>
              <w:t>ere</w:t>
            </w:r>
            <w:r w:rsidRPr="00760E0A">
              <w:rPr>
                <w:bCs/>
                <w:color w:val="000000" w:themeColor="text1"/>
                <w:sz w:val="22"/>
                <w:szCs w:val="22"/>
              </w:rPr>
              <w:t xml:space="preserve"> averaged. The rubric used for scoring was drawn from the Information Literacy and Written Communication Leap VALUE Rubrics from AAC&amp;U.</w:t>
            </w:r>
          </w:p>
          <w:p w14:paraId="27AC4D29" w14:textId="70481226" w:rsidR="009E1A73" w:rsidRPr="00760E0A" w:rsidRDefault="009E1A73" w:rsidP="00CD33EB">
            <w:pPr>
              <w:widowControl w:val="0"/>
              <w:autoSpaceDE w:val="0"/>
              <w:autoSpaceDN w:val="0"/>
              <w:adjustRightInd w:val="0"/>
              <w:rPr>
                <w:sz w:val="22"/>
                <w:szCs w:val="22"/>
              </w:rPr>
            </w:pPr>
            <w:r w:rsidRPr="00760E0A">
              <w:rPr>
                <w:color w:val="000000" w:themeColor="text1"/>
                <w:sz w:val="22"/>
                <w:szCs w:val="22"/>
              </w:rPr>
              <w:t xml:space="preserve">Of the </w:t>
            </w:r>
            <w:r>
              <w:rPr>
                <w:color w:val="000000" w:themeColor="text1"/>
                <w:sz w:val="22"/>
                <w:szCs w:val="22"/>
              </w:rPr>
              <w:t>three</w:t>
            </w:r>
            <w:r w:rsidRPr="00760E0A">
              <w:rPr>
                <w:color w:val="000000" w:themeColor="text1"/>
                <w:sz w:val="22"/>
                <w:szCs w:val="22"/>
              </w:rPr>
              <w:t xml:space="preserve"> papers assessed for this learning outcome, all </w:t>
            </w:r>
            <w:r>
              <w:rPr>
                <w:color w:val="000000" w:themeColor="text1"/>
                <w:sz w:val="22"/>
                <w:szCs w:val="22"/>
              </w:rPr>
              <w:t>three</w:t>
            </w:r>
            <w:r w:rsidRPr="00760E0A">
              <w:rPr>
                <w:color w:val="000000" w:themeColor="text1"/>
                <w:sz w:val="22"/>
                <w:szCs w:val="22"/>
              </w:rPr>
              <w:t xml:space="preserve"> achieved a score of </w:t>
            </w:r>
            <w:r>
              <w:rPr>
                <w:color w:val="000000" w:themeColor="text1"/>
                <w:sz w:val="22"/>
                <w:szCs w:val="22"/>
              </w:rPr>
              <w:t>3 or upper milestone</w:t>
            </w:r>
            <w:r w:rsidRPr="00760E0A">
              <w:rPr>
                <w:bCs/>
                <w:color w:val="000000" w:themeColor="text1"/>
                <w:sz w:val="22"/>
                <w:szCs w:val="22"/>
              </w:rPr>
              <w:t xml:space="preserve">. </w:t>
            </w:r>
          </w:p>
        </w:tc>
      </w:tr>
      <w:tr w:rsidR="009E1A73" w:rsidRPr="00760E0A" w14:paraId="416B8D87" w14:textId="77777777" w:rsidTr="00CD33EB">
        <w:trPr>
          <w:trHeight w:val="455"/>
        </w:trPr>
        <w:tc>
          <w:tcPr>
            <w:tcW w:w="14395" w:type="dxa"/>
            <w:gridSpan w:val="5"/>
            <w:shd w:val="pct12" w:color="auto" w:fill="auto"/>
            <w:tcMar>
              <w:top w:w="100" w:type="nil"/>
              <w:right w:w="100" w:type="nil"/>
            </w:tcMar>
          </w:tcPr>
          <w:p w14:paraId="107A5DC2" w14:textId="77777777" w:rsidR="009E1A73" w:rsidRPr="00760E0A" w:rsidRDefault="009E1A73" w:rsidP="00CD33EB">
            <w:pPr>
              <w:jc w:val="both"/>
              <w:rPr>
                <w:b/>
                <w:sz w:val="22"/>
                <w:szCs w:val="22"/>
              </w:rPr>
            </w:pPr>
            <w:r w:rsidRPr="00760E0A">
              <w:rPr>
                <w:b/>
                <w:sz w:val="22"/>
                <w:szCs w:val="22"/>
              </w:rPr>
              <w:t>Actions</w:t>
            </w:r>
          </w:p>
        </w:tc>
      </w:tr>
      <w:tr w:rsidR="009E1A73" w:rsidRPr="00760E0A" w14:paraId="292B85AD" w14:textId="77777777" w:rsidTr="00CD33EB">
        <w:tc>
          <w:tcPr>
            <w:tcW w:w="14395" w:type="dxa"/>
            <w:gridSpan w:val="5"/>
            <w:shd w:val="clear" w:color="auto" w:fill="auto"/>
            <w:tcMar>
              <w:top w:w="100" w:type="nil"/>
              <w:right w:w="100" w:type="nil"/>
            </w:tcMar>
          </w:tcPr>
          <w:p w14:paraId="7FCD782A" w14:textId="77777777" w:rsidR="009E1A73" w:rsidRPr="00760E0A" w:rsidRDefault="009E1A73" w:rsidP="009E1A73">
            <w:pPr>
              <w:jc w:val="both"/>
              <w:rPr>
                <w:bCs/>
                <w:sz w:val="22"/>
                <w:szCs w:val="22"/>
              </w:rPr>
            </w:pPr>
            <w:r w:rsidRPr="00760E0A">
              <w:rPr>
                <w:bCs/>
                <w:sz w:val="22"/>
                <w:szCs w:val="22"/>
              </w:rPr>
              <w:t xml:space="preserve">After the assessment process, the two faculty members met to discuss the results, particularly </w:t>
            </w:r>
            <w:proofErr w:type="gramStart"/>
            <w:r w:rsidRPr="00760E0A">
              <w:rPr>
                <w:bCs/>
                <w:sz w:val="22"/>
                <w:szCs w:val="22"/>
              </w:rPr>
              <w:t>in light of</w:t>
            </w:r>
            <w:proofErr w:type="gramEnd"/>
            <w:r w:rsidRPr="00760E0A">
              <w:rPr>
                <w:bCs/>
                <w:sz w:val="22"/>
                <w:szCs w:val="22"/>
              </w:rPr>
              <w:t xml:space="preserve"> the </w:t>
            </w:r>
            <w:r>
              <w:rPr>
                <w:bCs/>
                <w:sz w:val="22"/>
                <w:szCs w:val="22"/>
              </w:rPr>
              <w:t xml:space="preserve">2018-1019 </w:t>
            </w:r>
            <w:r w:rsidRPr="00760E0A">
              <w:rPr>
                <w:bCs/>
                <w:sz w:val="22"/>
                <w:szCs w:val="22"/>
              </w:rPr>
              <w:t xml:space="preserve">year’s assessment where 75% of the student learning outcomes were not met.  </w:t>
            </w:r>
          </w:p>
          <w:p w14:paraId="0887D6C3" w14:textId="77777777" w:rsidR="009E1A73" w:rsidRPr="00760E0A" w:rsidRDefault="009E1A73" w:rsidP="009E1A73">
            <w:pPr>
              <w:jc w:val="both"/>
              <w:rPr>
                <w:bCs/>
                <w:sz w:val="22"/>
                <w:szCs w:val="22"/>
              </w:rPr>
            </w:pPr>
          </w:p>
          <w:p w14:paraId="5E46BD7F" w14:textId="77777777" w:rsidR="009E1A73" w:rsidRPr="00760E0A" w:rsidRDefault="009E1A73" w:rsidP="009E1A73">
            <w:pPr>
              <w:jc w:val="both"/>
              <w:rPr>
                <w:bCs/>
                <w:sz w:val="22"/>
                <w:szCs w:val="22"/>
              </w:rPr>
            </w:pPr>
            <w:r w:rsidRPr="00760E0A">
              <w:rPr>
                <w:bCs/>
                <w:sz w:val="22"/>
                <w:szCs w:val="22"/>
              </w:rPr>
              <w:t xml:space="preserve">After careful analysis, the faculty members concluding that the </w:t>
            </w:r>
            <w:proofErr w:type="gramStart"/>
            <w:r w:rsidRPr="00760E0A">
              <w:rPr>
                <w:bCs/>
                <w:sz w:val="22"/>
                <w:szCs w:val="22"/>
              </w:rPr>
              <w:t>manner in which</w:t>
            </w:r>
            <w:proofErr w:type="gramEnd"/>
            <w:r w:rsidRPr="00760E0A">
              <w:rPr>
                <w:bCs/>
                <w:sz w:val="22"/>
                <w:szCs w:val="22"/>
              </w:rPr>
              <w:t xml:space="preserve"> th</w:t>
            </w:r>
            <w:r>
              <w:rPr>
                <w:bCs/>
                <w:sz w:val="22"/>
                <w:szCs w:val="22"/>
              </w:rPr>
              <w:t>e senior seminars are structured</w:t>
            </w:r>
            <w:r w:rsidRPr="00760E0A">
              <w:rPr>
                <w:bCs/>
                <w:sz w:val="22"/>
                <w:szCs w:val="22"/>
              </w:rPr>
              <w:t xml:space="preserve"> makes an important difference.  As this is a course that generally rotates among faculty members, a decision was reached to implement changes. </w:t>
            </w:r>
          </w:p>
          <w:p w14:paraId="0A3833E5" w14:textId="77777777" w:rsidR="009E1A73" w:rsidRPr="00760E0A" w:rsidRDefault="009E1A73" w:rsidP="00CD33EB">
            <w:pPr>
              <w:jc w:val="both"/>
              <w:rPr>
                <w:b/>
                <w:bCs/>
                <w:sz w:val="22"/>
                <w:szCs w:val="22"/>
              </w:rPr>
            </w:pPr>
          </w:p>
        </w:tc>
      </w:tr>
      <w:tr w:rsidR="009E1A73" w:rsidRPr="00760E0A" w14:paraId="2E82EDCD" w14:textId="77777777" w:rsidTr="00CD33EB">
        <w:tc>
          <w:tcPr>
            <w:tcW w:w="14395" w:type="dxa"/>
            <w:gridSpan w:val="5"/>
            <w:shd w:val="clear" w:color="auto" w:fill="auto"/>
            <w:tcMar>
              <w:top w:w="100" w:type="nil"/>
              <w:right w:w="100" w:type="nil"/>
            </w:tcMar>
          </w:tcPr>
          <w:p w14:paraId="05B3FB25" w14:textId="77777777" w:rsidR="009E1A73" w:rsidRDefault="009E1A73" w:rsidP="00CD33EB">
            <w:pPr>
              <w:jc w:val="both"/>
              <w:rPr>
                <w:b/>
                <w:bCs/>
                <w:sz w:val="22"/>
                <w:szCs w:val="22"/>
              </w:rPr>
            </w:pPr>
            <w:r w:rsidRPr="00760E0A">
              <w:rPr>
                <w:b/>
                <w:bCs/>
                <w:sz w:val="22"/>
                <w:szCs w:val="22"/>
              </w:rPr>
              <w:t>Follow-Up</w:t>
            </w:r>
          </w:p>
          <w:p w14:paraId="55BB0AA1" w14:textId="1056901C" w:rsidR="009E1A73" w:rsidRPr="00760E0A" w:rsidRDefault="009E1A73" w:rsidP="009E1A73">
            <w:pPr>
              <w:pStyle w:val="ListParagraph"/>
              <w:numPr>
                <w:ilvl w:val="0"/>
                <w:numId w:val="4"/>
              </w:numPr>
              <w:spacing w:before="0" w:beforeAutospacing="0" w:after="0" w:afterAutospacing="0"/>
              <w:rPr>
                <w:color w:val="000000"/>
                <w:sz w:val="22"/>
                <w:szCs w:val="22"/>
              </w:rPr>
            </w:pPr>
            <w:r w:rsidRPr="00760E0A">
              <w:rPr>
                <w:color w:val="000000"/>
                <w:sz w:val="22"/>
                <w:szCs w:val="22"/>
              </w:rPr>
              <w:t xml:space="preserve">We have restructured ARC 499 </w:t>
            </w:r>
            <w:r>
              <w:rPr>
                <w:color w:val="000000"/>
                <w:sz w:val="22"/>
                <w:szCs w:val="22"/>
              </w:rPr>
              <w:t xml:space="preserve">in 2019-2020 </w:t>
            </w:r>
            <w:r w:rsidRPr="00760E0A">
              <w:rPr>
                <w:color w:val="000000"/>
                <w:sz w:val="22"/>
                <w:szCs w:val="22"/>
              </w:rPr>
              <w:t>to focus on the necessary skills required for graduating students entering graduate program</w:t>
            </w:r>
            <w:r w:rsidR="007503E9">
              <w:rPr>
                <w:color w:val="000000"/>
                <w:sz w:val="22"/>
                <w:szCs w:val="22"/>
              </w:rPr>
              <w:t>s</w:t>
            </w:r>
            <w:r w:rsidRPr="00760E0A">
              <w:rPr>
                <w:color w:val="000000"/>
                <w:sz w:val="22"/>
                <w:szCs w:val="22"/>
              </w:rPr>
              <w:t xml:space="preserve"> and professional careers in Asian Studies and in Asian countries.</w:t>
            </w:r>
            <w:r>
              <w:rPr>
                <w:color w:val="000000"/>
                <w:sz w:val="22"/>
                <w:szCs w:val="22"/>
              </w:rPr>
              <w:t xml:space="preserve">  More discussion will be devoted to this restructuring as many of our graduate students do not enter graduate programs.</w:t>
            </w:r>
          </w:p>
          <w:p w14:paraId="0393B548" w14:textId="77777777" w:rsidR="009E1A73" w:rsidRPr="00760E0A" w:rsidRDefault="009E1A73" w:rsidP="009E1A73">
            <w:pPr>
              <w:pStyle w:val="ListParagraph"/>
              <w:numPr>
                <w:ilvl w:val="0"/>
                <w:numId w:val="4"/>
              </w:numPr>
              <w:spacing w:before="0" w:beforeAutospacing="0" w:after="0" w:afterAutospacing="0"/>
              <w:rPr>
                <w:color w:val="000000"/>
                <w:sz w:val="22"/>
                <w:szCs w:val="22"/>
              </w:rPr>
            </w:pPr>
            <w:r w:rsidRPr="00760E0A">
              <w:rPr>
                <w:color w:val="000000"/>
                <w:sz w:val="22"/>
                <w:szCs w:val="22"/>
              </w:rPr>
              <w:t xml:space="preserve">The revised version of ARC 499 </w:t>
            </w:r>
            <w:r>
              <w:rPr>
                <w:color w:val="000000"/>
                <w:sz w:val="22"/>
                <w:szCs w:val="22"/>
              </w:rPr>
              <w:t>included</w:t>
            </w:r>
            <w:r w:rsidRPr="00760E0A">
              <w:rPr>
                <w:color w:val="000000"/>
                <w:sz w:val="22"/>
                <w:szCs w:val="22"/>
              </w:rPr>
              <w:t xml:space="preserve"> units on citation styles, research methods, academic publishing, </w:t>
            </w:r>
            <w:proofErr w:type="gramStart"/>
            <w:r w:rsidRPr="00760E0A">
              <w:rPr>
                <w:color w:val="000000"/>
                <w:sz w:val="22"/>
                <w:szCs w:val="22"/>
              </w:rPr>
              <w:t>theories</w:t>
            </w:r>
            <w:proofErr w:type="gramEnd"/>
            <w:r w:rsidRPr="00760E0A">
              <w:rPr>
                <w:color w:val="000000"/>
                <w:sz w:val="22"/>
                <w:szCs w:val="22"/>
              </w:rPr>
              <w:t xml:space="preserve"> and methods in graduate academic study, and writing for the professional and academic market.</w:t>
            </w:r>
            <w:r w:rsidRPr="00760E0A">
              <w:rPr>
                <w:rStyle w:val="apple-converted-space"/>
                <w:color w:val="000000"/>
                <w:sz w:val="22"/>
                <w:szCs w:val="22"/>
              </w:rPr>
              <w:t> </w:t>
            </w:r>
          </w:p>
          <w:p w14:paraId="549E491F" w14:textId="77777777" w:rsidR="009E1A73" w:rsidRPr="00760E0A" w:rsidRDefault="009E1A73" w:rsidP="009E1A73">
            <w:pPr>
              <w:pStyle w:val="ListParagraph"/>
              <w:numPr>
                <w:ilvl w:val="0"/>
                <w:numId w:val="4"/>
              </w:numPr>
              <w:spacing w:before="0" w:beforeAutospacing="0" w:after="0" w:afterAutospacing="0"/>
              <w:rPr>
                <w:color w:val="000000"/>
                <w:sz w:val="22"/>
                <w:szCs w:val="22"/>
              </w:rPr>
            </w:pPr>
            <w:r w:rsidRPr="00760E0A">
              <w:rPr>
                <w:color w:val="000000"/>
                <w:sz w:val="22"/>
                <w:szCs w:val="22"/>
              </w:rPr>
              <w:t xml:space="preserve">The course </w:t>
            </w:r>
            <w:r>
              <w:rPr>
                <w:color w:val="000000"/>
                <w:sz w:val="22"/>
                <w:szCs w:val="22"/>
              </w:rPr>
              <w:t>concluded</w:t>
            </w:r>
            <w:r w:rsidRPr="00760E0A">
              <w:rPr>
                <w:color w:val="000000"/>
                <w:sz w:val="22"/>
                <w:szCs w:val="22"/>
              </w:rPr>
              <w:t xml:space="preserve"> with a capstone-style assignment, e.g., a conference paper, which will be used as evidence for the changes we have made and their evaluation. </w:t>
            </w:r>
          </w:p>
          <w:p w14:paraId="02AFD4CA" w14:textId="1EC70FEF" w:rsidR="009E1A73" w:rsidRPr="009E1A73" w:rsidRDefault="009E1A73" w:rsidP="009E1A73">
            <w:pPr>
              <w:rPr>
                <w:color w:val="000000"/>
                <w:sz w:val="22"/>
                <w:szCs w:val="22"/>
              </w:rPr>
            </w:pPr>
          </w:p>
        </w:tc>
      </w:tr>
      <w:tr w:rsidR="009E1A73" w:rsidRPr="00760E0A" w14:paraId="6E367496" w14:textId="77777777" w:rsidTr="00CD33EB">
        <w:tc>
          <w:tcPr>
            <w:tcW w:w="14395" w:type="dxa"/>
            <w:gridSpan w:val="5"/>
            <w:shd w:val="clear" w:color="auto" w:fill="auto"/>
            <w:tcMar>
              <w:top w:w="100" w:type="nil"/>
              <w:right w:w="100" w:type="nil"/>
            </w:tcMar>
          </w:tcPr>
          <w:p w14:paraId="6FE98F97" w14:textId="77777777" w:rsidR="009E1A73" w:rsidRPr="00760E0A" w:rsidRDefault="009E1A73" w:rsidP="00CD33EB">
            <w:pPr>
              <w:jc w:val="both"/>
              <w:rPr>
                <w:bCs/>
                <w:color w:val="000000" w:themeColor="text1"/>
                <w:sz w:val="22"/>
                <w:szCs w:val="22"/>
              </w:rPr>
            </w:pPr>
            <w:r w:rsidRPr="00760E0A">
              <w:rPr>
                <w:b/>
                <w:bCs/>
                <w:color w:val="000000" w:themeColor="text1"/>
                <w:sz w:val="22"/>
                <w:szCs w:val="22"/>
              </w:rPr>
              <w:t>Next Assessment Cycle Plan</w:t>
            </w:r>
          </w:p>
        </w:tc>
      </w:tr>
      <w:tr w:rsidR="009E1A73" w:rsidRPr="00760E0A" w14:paraId="625C8C7E" w14:textId="77777777" w:rsidTr="00CD33EB">
        <w:tc>
          <w:tcPr>
            <w:tcW w:w="14395" w:type="dxa"/>
            <w:gridSpan w:val="5"/>
            <w:shd w:val="clear" w:color="auto" w:fill="auto"/>
            <w:tcMar>
              <w:top w:w="100" w:type="nil"/>
              <w:right w:w="100" w:type="nil"/>
            </w:tcMar>
          </w:tcPr>
          <w:p w14:paraId="6FD1DFED" w14:textId="77777777" w:rsidR="009E1A73" w:rsidRDefault="009E1A73" w:rsidP="009E1A73">
            <w:pPr>
              <w:jc w:val="both"/>
              <w:rPr>
                <w:color w:val="000000" w:themeColor="text1"/>
                <w:sz w:val="22"/>
                <w:szCs w:val="22"/>
              </w:rPr>
            </w:pPr>
            <w:r>
              <w:rPr>
                <w:color w:val="000000" w:themeColor="text1"/>
                <w:sz w:val="22"/>
                <w:szCs w:val="22"/>
              </w:rPr>
              <w:t xml:space="preserve">As noted above, in fall 2021 the faculty will be meeting again to assess the SLOs and decide on possibly new skills for ARC graduates, as most do not enter graduate school. </w:t>
            </w:r>
          </w:p>
          <w:p w14:paraId="00AC0586" w14:textId="77777777" w:rsidR="009E1A73" w:rsidRPr="00760E0A" w:rsidRDefault="009E1A73" w:rsidP="00CD33EB">
            <w:pPr>
              <w:jc w:val="both"/>
              <w:rPr>
                <w:bCs/>
                <w:sz w:val="22"/>
                <w:szCs w:val="22"/>
              </w:rPr>
            </w:pPr>
          </w:p>
        </w:tc>
      </w:tr>
    </w:tbl>
    <w:p w14:paraId="13869B10" w14:textId="61888400" w:rsidR="009E1A73" w:rsidRDefault="009E1A73" w:rsidP="009E1A73">
      <w:pPr>
        <w:rPr>
          <w:sz w:val="22"/>
          <w:szCs w:val="22"/>
        </w:rPr>
      </w:pPr>
    </w:p>
    <w:p w14:paraId="4D3CEC69" w14:textId="35464E03" w:rsidR="009E1A73" w:rsidRDefault="009E1A73" w:rsidP="009E1A73">
      <w:pPr>
        <w:rPr>
          <w:sz w:val="22"/>
          <w:szCs w:val="22"/>
        </w:rPr>
      </w:pPr>
    </w:p>
    <w:p w14:paraId="652BA912" w14:textId="77777777" w:rsidR="009E1A73" w:rsidRPr="00760E0A" w:rsidRDefault="009E1A73" w:rsidP="009E1A73">
      <w:pPr>
        <w:rPr>
          <w:sz w:val="22"/>
          <w:szCs w:val="22"/>
        </w:rPr>
      </w:pPr>
    </w:p>
    <w:p w14:paraId="2DF77939" w14:textId="77777777" w:rsidR="009E1A73" w:rsidRPr="00760E0A" w:rsidRDefault="009E1A73" w:rsidP="009E1A73">
      <w:pPr>
        <w:rPr>
          <w:sz w:val="22"/>
          <w:szCs w:val="22"/>
        </w:rPr>
      </w:pPr>
      <w:r w:rsidRPr="00760E0A">
        <w:rPr>
          <w:b/>
          <w:bCs/>
          <w:sz w:val="22"/>
          <w:szCs w:val="22"/>
        </w:rPr>
        <w:t xml:space="preserve">Rubric for Student Learning Outcome 3: </w:t>
      </w:r>
      <w:r w:rsidRPr="00760E0A">
        <w:rPr>
          <w:sz w:val="22"/>
          <w:szCs w:val="22"/>
        </w:rPr>
        <w:t xml:space="preserve">Students will demonstrate global and/or intercultural learning in </w:t>
      </w:r>
      <w:proofErr w:type="spellStart"/>
      <w:r w:rsidRPr="00760E0A">
        <w:rPr>
          <w:sz w:val="22"/>
          <w:szCs w:val="22"/>
        </w:rPr>
        <w:t>thier</w:t>
      </w:r>
      <w:proofErr w:type="spellEnd"/>
      <w:r w:rsidRPr="00760E0A">
        <w:rPr>
          <w:sz w:val="22"/>
          <w:szCs w:val="22"/>
        </w:rPr>
        <w:t xml:space="preserve"> written communication.</w:t>
      </w:r>
    </w:p>
    <w:p w14:paraId="09F25355" w14:textId="77777777" w:rsidR="009E1A73" w:rsidRPr="00760E0A" w:rsidRDefault="009E1A73" w:rsidP="009E1A73">
      <w:pPr>
        <w:rPr>
          <w:sz w:val="22"/>
          <w:szCs w:val="22"/>
        </w:rPr>
      </w:pPr>
    </w:p>
    <w:tbl>
      <w:tblPr>
        <w:tblStyle w:val="TableGrid"/>
        <w:tblW w:w="14395" w:type="dxa"/>
        <w:tblLook w:val="04A0" w:firstRow="1" w:lastRow="0" w:firstColumn="1" w:lastColumn="0" w:noHBand="0" w:noVBand="1"/>
      </w:tblPr>
      <w:tblGrid>
        <w:gridCol w:w="3176"/>
        <w:gridCol w:w="2270"/>
        <w:gridCol w:w="2547"/>
        <w:gridCol w:w="3367"/>
        <w:gridCol w:w="3035"/>
      </w:tblGrid>
      <w:tr w:rsidR="009E1A73" w:rsidRPr="00760E0A" w14:paraId="3B413A19" w14:textId="77777777" w:rsidTr="00CD33EB">
        <w:tc>
          <w:tcPr>
            <w:tcW w:w="3176" w:type="dxa"/>
          </w:tcPr>
          <w:p w14:paraId="30738C44" w14:textId="77777777" w:rsidR="009E1A73" w:rsidRPr="00760E0A" w:rsidRDefault="009E1A73" w:rsidP="00CD33EB">
            <w:pPr>
              <w:rPr>
                <w:sz w:val="22"/>
                <w:szCs w:val="22"/>
              </w:rPr>
            </w:pPr>
          </w:p>
        </w:tc>
        <w:tc>
          <w:tcPr>
            <w:tcW w:w="2270" w:type="dxa"/>
          </w:tcPr>
          <w:p w14:paraId="5BD8E2DF" w14:textId="77777777" w:rsidR="009E1A73" w:rsidRPr="00760E0A" w:rsidRDefault="009E1A73" w:rsidP="00CD33EB">
            <w:pPr>
              <w:rPr>
                <w:sz w:val="22"/>
                <w:szCs w:val="22"/>
              </w:rPr>
            </w:pPr>
            <w:r w:rsidRPr="00760E0A">
              <w:rPr>
                <w:sz w:val="22"/>
                <w:szCs w:val="22"/>
              </w:rPr>
              <w:t>Capstone (4)</w:t>
            </w:r>
          </w:p>
        </w:tc>
        <w:tc>
          <w:tcPr>
            <w:tcW w:w="2547" w:type="dxa"/>
          </w:tcPr>
          <w:p w14:paraId="2A845A82" w14:textId="77777777" w:rsidR="009E1A73" w:rsidRPr="00760E0A" w:rsidRDefault="009E1A73" w:rsidP="00CD33EB">
            <w:pPr>
              <w:rPr>
                <w:sz w:val="22"/>
                <w:szCs w:val="22"/>
              </w:rPr>
            </w:pPr>
            <w:r w:rsidRPr="00760E0A">
              <w:rPr>
                <w:sz w:val="22"/>
                <w:szCs w:val="22"/>
              </w:rPr>
              <w:t>Upper Milestone (3)</w:t>
            </w:r>
          </w:p>
        </w:tc>
        <w:tc>
          <w:tcPr>
            <w:tcW w:w="3367" w:type="dxa"/>
          </w:tcPr>
          <w:p w14:paraId="3290EA5F" w14:textId="77777777" w:rsidR="009E1A73" w:rsidRPr="00760E0A" w:rsidRDefault="009E1A73" w:rsidP="00CD33EB">
            <w:pPr>
              <w:rPr>
                <w:sz w:val="22"/>
                <w:szCs w:val="22"/>
              </w:rPr>
            </w:pPr>
            <w:r w:rsidRPr="00760E0A">
              <w:rPr>
                <w:sz w:val="22"/>
                <w:szCs w:val="22"/>
              </w:rPr>
              <w:t>Lower Milestone (2)</w:t>
            </w:r>
          </w:p>
        </w:tc>
        <w:tc>
          <w:tcPr>
            <w:tcW w:w="3035" w:type="dxa"/>
          </w:tcPr>
          <w:p w14:paraId="7C7BFA60" w14:textId="77777777" w:rsidR="009E1A73" w:rsidRPr="00760E0A" w:rsidRDefault="009E1A73" w:rsidP="00CD33EB">
            <w:pPr>
              <w:rPr>
                <w:sz w:val="22"/>
                <w:szCs w:val="22"/>
              </w:rPr>
            </w:pPr>
            <w:r w:rsidRPr="00760E0A">
              <w:rPr>
                <w:sz w:val="22"/>
                <w:szCs w:val="22"/>
              </w:rPr>
              <w:t>Benchmark (1)</w:t>
            </w:r>
          </w:p>
        </w:tc>
      </w:tr>
      <w:tr w:rsidR="009E1A73" w:rsidRPr="00760E0A" w14:paraId="4FD275A9" w14:textId="77777777" w:rsidTr="00CD33EB">
        <w:tc>
          <w:tcPr>
            <w:tcW w:w="3176" w:type="dxa"/>
          </w:tcPr>
          <w:p w14:paraId="505EA96C" w14:textId="77777777" w:rsidR="009E1A73" w:rsidRPr="00760E0A" w:rsidRDefault="009E1A73" w:rsidP="00CD33EB">
            <w:pPr>
              <w:rPr>
                <w:sz w:val="22"/>
                <w:szCs w:val="22"/>
              </w:rPr>
            </w:pPr>
            <w:r w:rsidRPr="00760E0A">
              <w:rPr>
                <w:sz w:val="22"/>
                <w:szCs w:val="22"/>
              </w:rPr>
              <w:t>Perspective Taking</w:t>
            </w:r>
          </w:p>
          <w:p w14:paraId="5A9673FE" w14:textId="77777777" w:rsidR="009E1A73" w:rsidRPr="00760E0A" w:rsidRDefault="009E1A73" w:rsidP="00CD33EB">
            <w:pPr>
              <w:rPr>
                <w:sz w:val="22"/>
                <w:szCs w:val="22"/>
              </w:rPr>
            </w:pPr>
          </w:p>
        </w:tc>
        <w:tc>
          <w:tcPr>
            <w:tcW w:w="2270" w:type="dxa"/>
          </w:tcPr>
          <w:p w14:paraId="58ECB65B" w14:textId="77777777" w:rsidR="009E1A73" w:rsidRPr="00760E0A" w:rsidRDefault="009E1A73" w:rsidP="00CD33EB">
            <w:pPr>
              <w:rPr>
                <w:sz w:val="22"/>
                <w:szCs w:val="22"/>
              </w:rPr>
            </w:pPr>
            <w:r w:rsidRPr="00760E0A">
              <w:rPr>
                <w:sz w:val="22"/>
                <w:szCs w:val="22"/>
              </w:rPr>
              <w:t>Evaluates and applies diverse perspectives to complex subjects in the face of multiple and even conflicting positions.</w:t>
            </w:r>
          </w:p>
        </w:tc>
        <w:tc>
          <w:tcPr>
            <w:tcW w:w="2547" w:type="dxa"/>
          </w:tcPr>
          <w:p w14:paraId="0C1CAE28" w14:textId="77777777" w:rsidR="009E1A73" w:rsidRPr="00760E0A" w:rsidRDefault="009E1A73" w:rsidP="00CD33EB">
            <w:pPr>
              <w:rPr>
                <w:sz w:val="22"/>
                <w:szCs w:val="22"/>
              </w:rPr>
            </w:pPr>
            <w:r w:rsidRPr="00760E0A">
              <w:rPr>
                <w:sz w:val="22"/>
                <w:szCs w:val="22"/>
              </w:rPr>
              <w:t>Synthesizes other perspectives (such as cultural, disciplinary, and ethical).</w:t>
            </w:r>
          </w:p>
          <w:p w14:paraId="4351F9FD" w14:textId="77777777" w:rsidR="009E1A73" w:rsidRPr="00760E0A" w:rsidRDefault="009E1A73" w:rsidP="00CD33EB">
            <w:pPr>
              <w:rPr>
                <w:sz w:val="22"/>
                <w:szCs w:val="22"/>
              </w:rPr>
            </w:pPr>
          </w:p>
        </w:tc>
        <w:tc>
          <w:tcPr>
            <w:tcW w:w="3367" w:type="dxa"/>
          </w:tcPr>
          <w:p w14:paraId="3AF0475C" w14:textId="77777777" w:rsidR="009E1A73" w:rsidRPr="00760E0A" w:rsidRDefault="009E1A73" w:rsidP="00CD33EB">
            <w:pPr>
              <w:rPr>
                <w:sz w:val="22"/>
                <w:szCs w:val="22"/>
              </w:rPr>
            </w:pPr>
            <w:r w:rsidRPr="00760E0A">
              <w:rPr>
                <w:sz w:val="22"/>
                <w:szCs w:val="22"/>
              </w:rPr>
              <w:t>Identifies and explains multiple perspectives (such as cultural, disciplinary, and ethical).</w:t>
            </w:r>
          </w:p>
          <w:p w14:paraId="2EEE7634" w14:textId="77777777" w:rsidR="009E1A73" w:rsidRPr="00760E0A" w:rsidRDefault="009E1A73" w:rsidP="00CD33EB">
            <w:pPr>
              <w:rPr>
                <w:sz w:val="22"/>
                <w:szCs w:val="22"/>
              </w:rPr>
            </w:pPr>
          </w:p>
          <w:p w14:paraId="0D39844E" w14:textId="77777777" w:rsidR="009E1A73" w:rsidRPr="00760E0A" w:rsidRDefault="009E1A73" w:rsidP="00CD33EB">
            <w:pPr>
              <w:rPr>
                <w:sz w:val="22"/>
                <w:szCs w:val="22"/>
              </w:rPr>
            </w:pPr>
          </w:p>
        </w:tc>
        <w:tc>
          <w:tcPr>
            <w:tcW w:w="3035" w:type="dxa"/>
          </w:tcPr>
          <w:p w14:paraId="72956EE3" w14:textId="77777777" w:rsidR="009E1A73" w:rsidRPr="00760E0A" w:rsidRDefault="009E1A73" w:rsidP="00CD33EB">
            <w:pPr>
              <w:rPr>
                <w:sz w:val="22"/>
                <w:szCs w:val="22"/>
              </w:rPr>
            </w:pPr>
            <w:r w:rsidRPr="00760E0A">
              <w:rPr>
                <w:sz w:val="22"/>
                <w:szCs w:val="22"/>
              </w:rPr>
              <w:t xml:space="preserve">Identifies multiple perspectives while maintaining a value preference for own positioning (such as cultural, disciplinary, and ethical). </w:t>
            </w:r>
          </w:p>
          <w:p w14:paraId="69CBF066" w14:textId="77777777" w:rsidR="009E1A73" w:rsidRPr="00760E0A" w:rsidRDefault="009E1A73" w:rsidP="00CD33EB">
            <w:pPr>
              <w:rPr>
                <w:sz w:val="22"/>
                <w:szCs w:val="22"/>
              </w:rPr>
            </w:pPr>
          </w:p>
        </w:tc>
      </w:tr>
      <w:tr w:rsidR="009E1A73" w:rsidRPr="00760E0A" w14:paraId="2ADE7220" w14:textId="77777777" w:rsidTr="00CD33EB">
        <w:tc>
          <w:tcPr>
            <w:tcW w:w="3176" w:type="dxa"/>
          </w:tcPr>
          <w:p w14:paraId="57F8B0DB" w14:textId="77777777" w:rsidR="009E1A73" w:rsidRPr="00760E0A" w:rsidRDefault="009E1A73" w:rsidP="00CD33EB">
            <w:pPr>
              <w:rPr>
                <w:sz w:val="22"/>
                <w:szCs w:val="22"/>
              </w:rPr>
            </w:pPr>
            <w:r w:rsidRPr="00760E0A">
              <w:rPr>
                <w:sz w:val="22"/>
                <w:szCs w:val="22"/>
              </w:rPr>
              <w:t>Knowledge of cultural frameworks</w:t>
            </w:r>
          </w:p>
          <w:p w14:paraId="7AA5A0F0" w14:textId="77777777" w:rsidR="009E1A73" w:rsidRPr="00760E0A" w:rsidRDefault="009E1A73" w:rsidP="00CD33EB">
            <w:pPr>
              <w:rPr>
                <w:sz w:val="22"/>
                <w:szCs w:val="22"/>
              </w:rPr>
            </w:pPr>
          </w:p>
        </w:tc>
        <w:tc>
          <w:tcPr>
            <w:tcW w:w="2270" w:type="dxa"/>
          </w:tcPr>
          <w:p w14:paraId="3F1C2028" w14:textId="77777777" w:rsidR="009E1A73" w:rsidRPr="00760E0A" w:rsidRDefault="009E1A73" w:rsidP="00CD33EB">
            <w:pPr>
              <w:rPr>
                <w:sz w:val="22"/>
                <w:szCs w:val="22"/>
              </w:rPr>
            </w:pPr>
            <w:r w:rsidRPr="00760E0A">
              <w:rPr>
                <w:sz w:val="22"/>
                <w:szCs w:val="22"/>
              </w:rPr>
              <w:t>Demonstrates sophisticated understanding of the complexity of elements important to other cultures and contexts in relation to history, values, politics, communication styles, economy, or beliefs and practices.</w:t>
            </w:r>
          </w:p>
          <w:p w14:paraId="350A79DF" w14:textId="77777777" w:rsidR="009E1A73" w:rsidRPr="00760E0A" w:rsidRDefault="009E1A73" w:rsidP="00CD33EB">
            <w:pPr>
              <w:rPr>
                <w:sz w:val="22"/>
                <w:szCs w:val="22"/>
              </w:rPr>
            </w:pPr>
          </w:p>
        </w:tc>
        <w:tc>
          <w:tcPr>
            <w:tcW w:w="2547" w:type="dxa"/>
          </w:tcPr>
          <w:p w14:paraId="6DF22398" w14:textId="77777777" w:rsidR="009E1A73" w:rsidRPr="00760E0A" w:rsidRDefault="009E1A73" w:rsidP="00CD33EB">
            <w:pPr>
              <w:rPr>
                <w:sz w:val="22"/>
                <w:szCs w:val="22"/>
              </w:rPr>
            </w:pPr>
            <w:r w:rsidRPr="00760E0A">
              <w:rPr>
                <w:sz w:val="22"/>
                <w:szCs w:val="22"/>
              </w:rPr>
              <w:t>Demonstrates adequate understanding of the complexity of elements important to other cultures and contexts in relation to history, values, politics, communication styles, economy, or beliefs and practices.</w:t>
            </w:r>
          </w:p>
          <w:p w14:paraId="7D4C7846" w14:textId="77777777" w:rsidR="009E1A73" w:rsidRPr="00760E0A" w:rsidRDefault="009E1A73" w:rsidP="00CD33EB">
            <w:pPr>
              <w:rPr>
                <w:sz w:val="22"/>
                <w:szCs w:val="22"/>
              </w:rPr>
            </w:pPr>
          </w:p>
        </w:tc>
        <w:tc>
          <w:tcPr>
            <w:tcW w:w="3367" w:type="dxa"/>
          </w:tcPr>
          <w:p w14:paraId="79AF1195" w14:textId="77777777" w:rsidR="009E1A73" w:rsidRPr="00760E0A" w:rsidRDefault="009E1A73" w:rsidP="00CD33EB">
            <w:pPr>
              <w:rPr>
                <w:sz w:val="22"/>
                <w:szCs w:val="22"/>
              </w:rPr>
            </w:pPr>
            <w:r w:rsidRPr="00760E0A">
              <w:rPr>
                <w:sz w:val="22"/>
                <w:szCs w:val="22"/>
              </w:rPr>
              <w:t>Demonstrates partial understanding of the complexity of elements important to other cultures and contexts in relation to history, values, politics, communication styles, economy, or beliefs and practices.</w:t>
            </w:r>
          </w:p>
          <w:p w14:paraId="4C428095" w14:textId="77777777" w:rsidR="009E1A73" w:rsidRPr="00760E0A" w:rsidRDefault="009E1A73" w:rsidP="00CD33EB">
            <w:pPr>
              <w:rPr>
                <w:sz w:val="22"/>
                <w:szCs w:val="22"/>
              </w:rPr>
            </w:pPr>
          </w:p>
        </w:tc>
        <w:tc>
          <w:tcPr>
            <w:tcW w:w="3035" w:type="dxa"/>
          </w:tcPr>
          <w:p w14:paraId="2E4BACEC" w14:textId="77777777" w:rsidR="009E1A73" w:rsidRPr="00760E0A" w:rsidRDefault="009E1A73" w:rsidP="00CD33EB">
            <w:pPr>
              <w:rPr>
                <w:sz w:val="22"/>
                <w:szCs w:val="22"/>
              </w:rPr>
            </w:pPr>
            <w:r w:rsidRPr="00760E0A">
              <w:rPr>
                <w:sz w:val="22"/>
                <w:szCs w:val="22"/>
              </w:rPr>
              <w:t>Demonstrates surface understanding of the complexity of elements important to other cultures and contexts in relation to history, values, politics, communication styles, economy, or beliefs and practices.</w:t>
            </w:r>
          </w:p>
          <w:p w14:paraId="28359694" w14:textId="77777777" w:rsidR="009E1A73" w:rsidRPr="00760E0A" w:rsidRDefault="009E1A73" w:rsidP="00CD33EB">
            <w:pPr>
              <w:rPr>
                <w:sz w:val="22"/>
                <w:szCs w:val="22"/>
              </w:rPr>
            </w:pPr>
          </w:p>
        </w:tc>
      </w:tr>
      <w:tr w:rsidR="009E1A73" w:rsidRPr="00760E0A" w14:paraId="08E06180" w14:textId="77777777" w:rsidTr="00CD33EB">
        <w:tc>
          <w:tcPr>
            <w:tcW w:w="3176" w:type="dxa"/>
          </w:tcPr>
          <w:p w14:paraId="32CCFE9B" w14:textId="77777777" w:rsidR="009E1A73" w:rsidRPr="00760E0A" w:rsidRDefault="009E1A73" w:rsidP="00CD33EB">
            <w:pPr>
              <w:rPr>
                <w:sz w:val="22"/>
                <w:szCs w:val="22"/>
              </w:rPr>
            </w:pPr>
            <w:r w:rsidRPr="00760E0A">
              <w:rPr>
                <w:sz w:val="22"/>
                <w:szCs w:val="22"/>
              </w:rPr>
              <w:t>Curiosity</w:t>
            </w:r>
          </w:p>
          <w:p w14:paraId="7D5056FF" w14:textId="77777777" w:rsidR="009E1A73" w:rsidRPr="00760E0A" w:rsidRDefault="009E1A73" w:rsidP="00CD33EB">
            <w:pPr>
              <w:rPr>
                <w:sz w:val="22"/>
                <w:szCs w:val="22"/>
              </w:rPr>
            </w:pPr>
          </w:p>
        </w:tc>
        <w:tc>
          <w:tcPr>
            <w:tcW w:w="2270" w:type="dxa"/>
          </w:tcPr>
          <w:p w14:paraId="0E267AE9" w14:textId="77777777" w:rsidR="009E1A73" w:rsidRPr="00760E0A" w:rsidRDefault="009E1A73" w:rsidP="00CD33EB">
            <w:pPr>
              <w:rPr>
                <w:sz w:val="22"/>
                <w:szCs w:val="22"/>
              </w:rPr>
            </w:pPr>
            <w:r w:rsidRPr="00760E0A">
              <w:rPr>
                <w:sz w:val="22"/>
                <w:szCs w:val="22"/>
              </w:rPr>
              <w:t>Writing asks complex questions about other cultures, seeks out and articulates answers to these questions that reflect an understanding of different cultural or global perspectives.</w:t>
            </w:r>
          </w:p>
          <w:p w14:paraId="7546034D" w14:textId="77777777" w:rsidR="009E1A73" w:rsidRPr="00760E0A" w:rsidRDefault="009E1A73" w:rsidP="00CD33EB">
            <w:pPr>
              <w:rPr>
                <w:sz w:val="22"/>
                <w:szCs w:val="22"/>
              </w:rPr>
            </w:pPr>
          </w:p>
        </w:tc>
        <w:tc>
          <w:tcPr>
            <w:tcW w:w="2547" w:type="dxa"/>
          </w:tcPr>
          <w:p w14:paraId="19F985D4" w14:textId="77777777" w:rsidR="009E1A73" w:rsidRPr="00760E0A" w:rsidRDefault="009E1A73" w:rsidP="00CD33EB">
            <w:pPr>
              <w:rPr>
                <w:sz w:val="22"/>
                <w:szCs w:val="22"/>
              </w:rPr>
            </w:pPr>
            <w:r w:rsidRPr="00760E0A">
              <w:rPr>
                <w:sz w:val="22"/>
                <w:szCs w:val="22"/>
              </w:rPr>
              <w:t xml:space="preserve">Writing asks deeper questions about other cultures and contexts and seeks out answers to these questions. </w:t>
            </w:r>
          </w:p>
          <w:p w14:paraId="148FDC60" w14:textId="77777777" w:rsidR="009E1A73" w:rsidRPr="00760E0A" w:rsidRDefault="009E1A73" w:rsidP="00CD33EB">
            <w:pPr>
              <w:rPr>
                <w:sz w:val="22"/>
                <w:szCs w:val="22"/>
              </w:rPr>
            </w:pPr>
          </w:p>
        </w:tc>
        <w:tc>
          <w:tcPr>
            <w:tcW w:w="3367" w:type="dxa"/>
          </w:tcPr>
          <w:p w14:paraId="6E0617DA" w14:textId="77777777" w:rsidR="009E1A73" w:rsidRPr="00760E0A" w:rsidRDefault="009E1A73" w:rsidP="00CD33EB">
            <w:pPr>
              <w:rPr>
                <w:sz w:val="22"/>
                <w:szCs w:val="22"/>
              </w:rPr>
            </w:pPr>
            <w:r w:rsidRPr="00760E0A">
              <w:rPr>
                <w:sz w:val="22"/>
                <w:szCs w:val="22"/>
              </w:rPr>
              <w:t>Writing asks simple or surface questions about other cultures and contexts.</w:t>
            </w:r>
          </w:p>
        </w:tc>
        <w:tc>
          <w:tcPr>
            <w:tcW w:w="3035" w:type="dxa"/>
          </w:tcPr>
          <w:p w14:paraId="7ACE033F" w14:textId="77777777" w:rsidR="009E1A73" w:rsidRPr="00760E0A" w:rsidRDefault="009E1A73" w:rsidP="00CD33EB">
            <w:pPr>
              <w:rPr>
                <w:sz w:val="22"/>
                <w:szCs w:val="22"/>
              </w:rPr>
            </w:pPr>
            <w:r w:rsidRPr="00760E0A">
              <w:rPr>
                <w:sz w:val="22"/>
                <w:szCs w:val="22"/>
              </w:rPr>
              <w:t>Writing reflects minimal interest in learning more about other cultures and contexts.</w:t>
            </w:r>
          </w:p>
          <w:p w14:paraId="4C5F8E3C" w14:textId="77777777" w:rsidR="009E1A73" w:rsidRPr="00760E0A" w:rsidRDefault="009E1A73" w:rsidP="00CD33EB">
            <w:pPr>
              <w:rPr>
                <w:sz w:val="22"/>
                <w:szCs w:val="22"/>
              </w:rPr>
            </w:pPr>
          </w:p>
        </w:tc>
      </w:tr>
    </w:tbl>
    <w:p w14:paraId="23092CD7" w14:textId="77777777" w:rsidR="009E1A73" w:rsidRPr="00760E0A" w:rsidRDefault="009E1A73" w:rsidP="009E1A73">
      <w:pPr>
        <w:rPr>
          <w:sz w:val="22"/>
          <w:szCs w:val="22"/>
        </w:rPr>
      </w:pPr>
    </w:p>
    <w:sectPr w:rsidR="009E1A73" w:rsidRPr="00760E0A"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69339" w14:textId="77777777" w:rsidR="005A439D" w:rsidRDefault="005A439D" w:rsidP="001F2A02">
      <w:r>
        <w:separator/>
      </w:r>
    </w:p>
  </w:endnote>
  <w:endnote w:type="continuationSeparator" w:id="0">
    <w:p w14:paraId="74744C5C" w14:textId="77777777" w:rsidR="005A439D" w:rsidRDefault="005A439D"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74634" w14:textId="77777777" w:rsidR="005A439D" w:rsidRDefault="005A439D" w:rsidP="001F2A02">
      <w:r>
        <w:separator/>
      </w:r>
    </w:p>
  </w:footnote>
  <w:footnote w:type="continuationSeparator" w:id="0">
    <w:p w14:paraId="62D7DEF6" w14:textId="77777777" w:rsidR="005A439D" w:rsidRDefault="005A439D"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C6A47"/>
    <w:multiLevelType w:val="multilevel"/>
    <w:tmpl w:val="17683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D435F4"/>
    <w:multiLevelType w:val="hybridMultilevel"/>
    <w:tmpl w:val="2F2AB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854977"/>
    <w:multiLevelType w:val="multilevel"/>
    <w:tmpl w:val="17683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A01888"/>
    <w:multiLevelType w:val="hybridMultilevel"/>
    <w:tmpl w:val="2F2AB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71470"/>
    <w:rsid w:val="001160F4"/>
    <w:rsid w:val="00141CFC"/>
    <w:rsid w:val="0017571B"/>
    <w:rsid w:val="001926F3"/>
    <w:rsid w:val="001A7D75"/>
    <w:rsid w:val="001B1F95"/>
    <w:rsid w:val="001F2A02"/>
    <w:rsid w:val="00234076"/>
    <w:rsid w:val="0024670E"/>
    <w:rsid w:val="002C1781"/>
    <w:rsid w:val="002D5D87"/>
    <w:rsid w:val="002E1C7B"/>
    <w:rsid w:val="002F75F1"/>
    <w:rsid w:val="003425F4"/>
    <w:rsid w:val="0036061A"/>
    <w:rsid w:val="003A32E4"/>
    <w:rsid w:val="003E0415"/>
    <w:rsid w:val="00402256"/>
    <w:rsid w:val="00406B46"/>
    <w:rsid w:val="0044187F"/>
    <w:rsid w:val="00485486"/>
    <w:rsid w:val="004A360E"/>
    <w:rsid w:val="004B0DA2"/>
    <w:rsid w:val="004C0112"/>
    <w:rsid w:val="004D5BD7"/>
    <w:rsid w:val="004D7D95"/>
    <w:rsid w:val="004E577A"/>
    <w:rsid w:val="005907DF"/>
    <w:rsid w:val="005A439D"/>
    <w:rsid w:val="005C7ECF"/>
    <w:rsid w:val="005D68AF"/>
    <w:rsid w:val="005F0B2E"/>
    <w:rsid w:val="00606BCF"/>
    <w:rsid w:val="006354B4"/>
    <w:rsid w:val="00656559"/>
    <w:rsid w:val="00664A15"/>
    <w:rsid w:val="006D1A9A"/>
    <w:rsid w:val="006E294C"/>
    <w:rsid w:val="006E61AB"/>
    <w:rsid w:val="0070232E"/>
    <w:rsid w:val="007377F0"/>
    <w:rsid w:val="007503E9"/>
    <w:rsid w:val="007531CA"/>
    <w:rsid w:val="0075740F"/>
    <w:rsid w:val="007706BE"/>
    <w:rsid w:val="0084082F"/>
    <w:rsid w:val="00886031"/>
    <w:rsid w:val="008C543D"/>
    <w:rsid w:val="00906B14"/>
    <w:rsid w:val="009414E6"/>
    <w:rsid w:val="009952EC"/>
    <w:rsid w:val="009E1A73"/>
    <w:rsid w:val="00A8015B"/>
    <w:rsid w:val="00AA5FB2"/>
    <w:rsid w:val="00AE7017"/>
    <w:rsid w:val="00B3239E"/>
    <w:rsid w:val="00B63581"/>
    <w:rsid w:val="00BA43B7"/>
    <w:rsid w:val="00BC0316"/>
    <w:rsid w:val="00C4455B"/>
    <w:rsid w:val="00C63821"/>
    <w:rsid w:val="00C71B07"/>
    <w:rsid w:val="00C81981"/>
    <w:rsid w:val="00D03ECA"/>
    <w:rsid w:val="00D077D7"/>
    <w:rsid w:val="00D713AB"/>
    <w:rsid w:val="00D86425"/>
    <w:rsid w:val="00DD4EBB"/>
    <w:rsid w:val="00E73499"/>
    <w:rsid w:val="00E95BBD"/>
    <w:rsid w:val="00EB65C8"/>
    <w:rsid w:val="00EC1C25"/>
    <w:rsid w:val="00F136C3"/>
    <w:rsid w:val="00F51EDD"/>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84082F"/>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840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2019-09-30T17:49:00Z</cp:lastPrinted>
  <dcterms:created xsi:type="dcterms:W3CDTF">2021-07-20T18:20:00Z</dcterms:created>
  <dcterms:modified xsi:type="dcterms:W3CDTF">2021-07-20T18:20:00Z</dcterms:modified>
</cp:coreProperties>
</file>