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2D" w:rsidRPr="00AE50A1" w:rsidRDefault="00C44C05" w:rsidP="00CC602D">
      <w:pPr>
        <w:pStyle w:val="Heading1"/>
        <w:jc w:val="right"/>
        <w:rPr>
          <w:rFonts w:ascii="Times New Roman" w:hAnsi="Times New Roman" w:cs="Times New Roman"/>
          <w:b w:val="0"/>
          <w:color w:val="auto"/>
          <w:sz w:val="24"/>
          <w:szCs w:val="24"/>
        </w:rPr>
      </w:pPr>
      <w:bookmarkStart w:id="0" w:name="_GoBack"/>
      <w:bookmarkEnd w:id="0"/>
      <w:r>
        <w:rPr>
          <w:noProof/>
          <w:sz w:val="24"/>
          <w:szCs w:val="24"/>
        </w:rPr>
        <w:drawing>
          <wp:anchor distT="0" distB="0" distL="114300" distR="114300" simplePos="0" relativeHeight="251658240" behindDoc="0" locked="0" layoutInCell="1" allowOverlap="1" wp14:anchorId="0282D800" wp14:editId="70A518E4">
            <wp:simplePos x="0" y="0"/>
            <wp:positionH relativeFrom="column">
              <wp:posOffset>161925</wp:posOffset>
            </wp:positionH>
            <wp:positionV relativeFrom="paragraph">
              <wp:posOffset>99695</wp:posOffset>
            </wp:positionV>
            <wp:extent cx="838200" cy="1084580"/>
            <wp:effectExtent l="0" t="0" r="0" b="1270"/>
            <wp:wrapNone/>
            <wp:docPr id="1" name="Picture 1" descr="CHF Color Seal Scanne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F Color Seal Scanned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02D">
        <w:rPr>
          <w:rFonts w:ascii="Times New Roman" w:hAnsi="Times New Roman" w:cs="Times New Roman"/>
          <w:b w:val="0"/>
          <w:color w:val="auto"/>
          <w:sz w:val="24"/>
          <w:szCs w:val="24"/>
        </w:rPr>
        <w:t>Policy No:  400.2</w:t>
      </w:r>
    </w:p>
    <w:p w:rsidR="00CC602D" w:rsidRPr="00A97A17" w:rsidRDefault="00CC602D" w:rsidP="00CC602D">
      <w:pPr>
        <w:ind w:left="5760"/>
        <w:jc w:val="right"/>
        <w:rPr>
          <w:sz w:val="24"/>
          <w:szCs w:val="24"/>
        </w:rPr>
      </w:pPr>
      <w:r>
        <w:rPr>
          <w:sz w:val="24"/>
          <w:szCs w:val="24"/>
        </w:rPr>
        <w:t>Last Update:</w:t>
      </w:r>
      <w:r>
        <w:rPr>
          <w:sz w:val="24"/>
          <w:szCs w:val="24"/>
        </w:rPr>
        <w:tab/>
        <w:t>November 7, 2013</w:t>
      </w:r>
    </w:p>
    <w:p w:rsidR="00CC602D" w:rsidRDefault="00CC602D" w:rsidP="00CC602D">
      <w:pPr>
        <w:jc w:val="center"/>
        <w:rPr>
          <w:b/>
          <w:sz w:val="24"/>
          <w:szCs w:val="24"/>
        </w:rPr>
      </w:pPr>
      <w:r w:rsidRPr="00A97A17">
        <w:rPr>
          <w:b/>
          <w:sz w:val="24"/>
          <w:szCs w:val="24"/>
        </w:rPr>
        <w:tab/>
      </w:r>
    </w:p>
    <w:p w:rsidR="00C44C05" w:rsidRDefault="00C44C05" w:rsidP="00CC602D">
      <w:pPr>
        <w:jc w:val="center"/>
        <w:rPr>
          <w:b/>
          <w:sz w:val="24"/>
          <w:szCs w:val="24"/>
        </w:rPr>
      </w:pPr>
    </w:p>
    <w:p w:rsidR="00CC602D" w:rsidRDefault="00CC602D" w:rsidP="00CC602D">
      <w:pPr>
        <w:jc w:val="center"/>
        <w:rPr>
          <w:b/>
          <w:sz w:val="24"/>
          <w:szCs w:val="24"/>
        </w:rPr>
      </w:pPr>
      <w:r w:rsidRPr="00A97A17">
        <w:rPr>
          <w:b/>
          <w:sz w:val="24"/>
          <w:szCs w:val="24"/>
        </w:rPr>
        <w:tab/>
      </w:r>
    </w:p>
    <w:p w:rsidR="00CC602D" w:rsidRPr="00A97A17" w:rsidRDefault="00CC602D" w:rsidP="00CC602D">
      <w:pPr>
        <w:jc w:val="center"/>
        <w:rPr>
          <w:b/>
          <w:sz w:val="24"/>
          <w:szCs w:val="24"/>
        </w:rPr>
      </w:pPr>
    </w:p>
    <w:p w:rsidR="00CC602D" w:rsidRPr="00A97A17" w:rsidRDefault="00CC602D" w:rsidP="00CC602D">
      <w:pPr>
        <w:jc w:val="center"/>
        <w:rPr>
          <w:sz w:val="24"/>
          <w:szCs w:val="24"/>
        </w:rPr>
      </w:pPr>
      <w:r>
        <w:rPr>
          <w:sz w:val="24"/>
          <w:szCs w:val="24"/>
        </w:rPr>
        <w:t>COLLEGE HEIGHTS FOUNDATION</w:t>
      </w:r>
    </w:p>
    <w:p w:rsidR="00CC602D" w:rsidRPr="00A97A17" w:rsidRDefault="00CC602D" w:rsidP="00CC602D">
      <w:pPr>
        <w:pStyle w:val="Header"/>
        <w:tabs>
          <w:tab w:val="clear" w:pos="4320"/>
          <w:tab w:val="clear" w:pos="8640"/>
        </w:tabs>
        <w:rPr>
          <w:szCs w:val="24"/>
        </w:rPr>
      </w:pPr>
    </w:p>
    <w:p w:rsidR="00CC602D" w:rsidRPr="00A97A17" w:rsidRDefault="00CC602D" w:rsidP="00CC602D">
      <w:pPr>
        <w:pStyle w:val="Header"/>
        <w:tabs>
          <w:tab w:val="clear" w:pos="4320"/>
          <w:tab w:val="clear" w:pos="8640"/>
        </w:tabs>
        <w:rPr>
          <w:szCs w:val="24"/>
        </w:rPr>
      </w:pPr>
      <w:r w:rsidRPr="00A97A17">
        <w:rPr>
          <w:szCs w:val="24"/>
        </w:rPr>
        <w:t>SECTION:</w:t>
      </w:r>
      <w:r w:rsidRPr="00A97A17">
        <w:rPr>
          <w:szCs w:val="24"/>
        </w:rPr>
        <w:tab/>
      </w:r>
      <w:r>
        <w:rPr>
          <w:szCs w:val="24"/>
        </w:rPr>
        <w:t>Treasury</w:t>
      </w:r>
    </w:p>
    <w:p w:rsidR="00CC602D" w:rsidRPr="00A97A17" w:rsidRDefault="00CC602D" w:rsidP="00CC602D">
      <w:pPr>
        <w:rPr>
          <w:b/>
          <w:sz w:val="24"/>
          <w:szCs w:val="24"/>
        </w:rPr>
      </w:pPr>
    </w:p>
    <w:p w:rsidR="00CC602D" w:rsidRPr="00AE50A1" w:rsidRDefault="00CC602D" w:rsidP="00CC602D">
      <w:pPr>
        <w:pStyle w:val="Heading3"/>
        <w:rPr>
          <w:rFonts w:ascii="Times New Roman" w:hAnsi="Times New Roman" w:cs="Times New Roman"/>
          <w:color w:val="auto"/>
          <w:sz w:val="24"/>
          <w:szCs w:val="24"/>
        </w:rPr>
      </w:pPr>
      <w:r>
        <w:rPr>
          <w:rFonts w:ascii="Times New Roman" w:hAnsi="Times New Roman" w:cs="Times New Roman"/>
          <w:color w:val="auto"/>
          <w:sz w:val="24"/>
          <w:szCs w:val="24"/>
        </w:rPr>
        <w:t>SUBJECT:</w:t>
      </w:r>
      <w:r>
        <w:rPr>
          <w:rFonts w:ascii="Times New Roman" w:hAnsi="Times New Roman" w:cs="Times New Roman"/>
          <w:color w:val="auto"/>
          <w:sz w:val="24"/>
          <w:szCs w:val="24"/>
        </w:rPr>
        <w:tab/>
        <w:t>Spending Policy</w:t>
      </w:r>
    </w:p>
    <w:p w:rsidR="003F266A" w:rsidRPr="00A34A18" w:rsidRDefault="003F266A" w:rsidP="003F266A">
      <w:pPr>
        <w:jc w:val="center"/>
        <w:rPr>
          <w:sz w:val="24"/>
        </w:rPr>
      </w:pPr>
    </w:p>
    <w:p w:rsidR="00CC602D" w:rsidRDefault="00CC602D" w:rsidP="003F266A">
      <w:pPr>
        <w:rPr>
          <w:b/>
          <w:sz w:val="24"/>
          <w:u w:val="single"/>
        </w:rPr>
      </w:pPr>
    </w:p>
    <w:p w:rsidR="00CC602D" w:rsidRDefault="00CC602D" w:rsidP="003F266A">
      <w:pPr>
        <w:rPr>
          <w:b/>
          <w:sz w:val="24"/>
          <w:u w:val="single"/>
        </w:rPr>
      </w:pPr>
    </w:p>
    <w:p w:rsidR="003F266A" w:rsidRPr="00A34A18" w:rsidRDefault="00CC602D" w:rsidP="003F266A">
      <w:pPr>
        <w:rPr>
          <w:b/>
          <w:sz w:val="24"/>
          <w:u w:val="single"/>
        </w:rPr>
      </w:pPr>
      <w:r>
        <w:rPr>
          <w:b/>
          <w:sz w:val="24"/>
          <w:u w:val="single"/>
        </w:rPr>
        <w:t>PURP</w:t>
      </w:r>
      <w:r w:rsidR="00450E28" w:rsidRPr="00A34A18">
        <w:rPr>
          <w:b/>
          <w:sz w:val="24"/>
          <w:u w:val="single"/>
        </w:rPr>
        <w:t xml:space="preserve">OSE </w:t>
      </w:r>
    </w:p>
    <w:p w:rsidR="00450E28" w:rsidRPr="00A34A18" w:rsidRDefault="00450E28" w:rsidP="003F266A">
      <w:pPr>
        <w:rPr>
          <w:b/>
          <w:sz w:val="24"/>
          <w:u w:val="single"/>
        </w:rPr>
      </w:pPr>
    </w:p>
    <w:p w:rsidR="000F2390" w:rsidRPr="00A34A18" w:rsidRDefault="00E87C42" w:rsidP="000F2390">
      <w:pPr>
        <w:ind w:right="-720"/>
        <w:rPr>
          <w:sz w:val="24"/>
          <w:szCs w:val="24"/>
        </w:rPr>
      </w:pPr>
      <w:r>
        <w:rPr>
          <w:sz w:val="24"/>
        </w:rPr>
        <w:t xml:space="preserve">The purpose of this policy is to define the spending </w:t>
      </w:r>
      <w:r w:rsidR="003F266A" w:rsidRPr="00A34A18">
        <w:rPr>
          <w:sz w:val="24"/>
        </w:rPr>
        <w:t xml:space="preserve">policy for the </w:t>
      </w:r>
      <w:r w:rsidR="00CC602D">
        <w:rPr>
          <w:sz w:val="24"/>
        </w:rPr>
        <w:t>endowment f</w:t>
      </w:r>
      <w:r w:rsidR="004D7FE5" w:rsidRPr="00A34A18">
        <w:rPr>
          <w:sz w:val="24"/>
        </w:rPr>
        <w:t>unds of the College Heights Foundation</w:t>
      </w:r>
      <w:r w:rsidR="00EF3833" w:rsidRPr="00A34A18">
        <w:rPr>
          <w:sz w:val="24"/>
        </w:rPr>
        <w:t xml:space="preserve">.  As such, this will serve as the baseline policy for </w:t>
      </w:r>
      <w:r w:rsidR="00CC602D">
        <w:rPr>
          <w:sz w:val="24"/>
        </w:rPr>
        <w:t xml:space="preserve">most, </w:t>
      </w:r>
      <w:r w:rsidR="001703FC" w:rsidRPr="00A34A18">
        <w:rPr>
          <w:sz w:val="24"/>
        </w:rPr>
        <w:t xml:space="preserve">but not </w:t>
      </w:r>
      <w:r w:rsidR="00CC602D">
        <w:rPr>
          <w:sz w:val="24"/>
        </w:rPr>
        <w:t>necessarily all</w:t>
      </w:r>
      <w:r w:rsidR="004F1153">
        <w:rPr>
          <w:sz w:val="24"/>
        </w:rPr>
        <w:t>, of</w:t>
      </w:r>
      <w:r w:rsidR="001703FC" w:rsidRPr="00A34A18">
        <w:rPr>
          <w:sz w:val="24"/>
        </w:rPr>
        <w:t xml:space="preserve"> </w:t>
      </w:r>
      <w:r w:rsidR="00EF3833" w:rsidRPr="00A34A18">
        <w:rPr>
          <w:sz w:val="24"/>
        </w:rPr>
        <w:t>th</w:t>
      </w:r>
      <w:r>
        <w:rPr>
          <w:sz w:val="24"/>
        </w:rPr>
        <w:t xml:space="preserve">e Foundation’s various </w:t>
      </w:r>
      <w:r w:rsidR="00CC602D">
        <w:rPr>
          <w:sz w:val="24"/>
        </w:rPr>
        <w:t>e</w:t>
      </w:r>
      <w:r w:rsidR="00EF3833" w:rsidRPr="00A34A18">
        <w:rPr>
          <w:sz w:val="24"/>
        </w:rPr>
        <w:t>ndowment assets</w:t>
      </w:r>
      <w:r w:rsidR="00C220F3" w:rsidRPr="00A34A18">
        <w:rPr>
          <w:sz w:val="24"/>
        </w:rPr>
        <w:t xml:space="preserve">. </w:t>
      </w:r>
      <w:r w:rsidR="00EF3833" w:rsidRPr="00A34A18">
        <w:rPr>
          <w:sz w:val="24"/>
        </w:rPr>
        <w:t xml:space="preserve"> </w:t>
      </w:r>
      <w:r w:rsidR="000F2390" w:rsidRPr="00A34A18">
        <w:rPr>
          <w:sz w:val="24"/>
        </w:rPr>
        <w:t xml:space="preserve">The Foundation recognizes that as a perpetual entity, </w:t>
      </w:r>
      <w:r w:rsidR="000F2390">
        <w:rPr>
          <w:sz w:val="24"/>
        </w:rPr>
        <w:t xml:space="preserve">the framework of its spending </w:t>
      </w:r>
      <w:r w:rsidR="000F2390" w:rsidRPr="00A34A18">
        <w:rPr>
          <w:sz w:val="24"/>
        </w:rPr>
        <w:t>decisions should be centered upon long term (5-10 year plus)</w:t>
      </w:r>
      <w:r w:rsidR="000F2390">
        <w:rPr>
          <w:sz w:val="24"/>
        </w:rPr>
        <w:t xml:space="preserve"> market cycles</w:t>
      </w:r>
      <w:r w:rsidR="000F2390" w:rsidRPr="00A34A18">
        <w:rPr>
          <w:sz w:val="24"/>
        </w:rPr>
        <w:t xml:space="preserve">. </w:t>
      </w:r>
    </w:p>
    <w:p w:rsidR="003F266A" w:rsidRPr="00A34A18" w:rsidRDefault="003F266A" w:rsidP="003F266A">
      <w:pPr>
        <w:rPr>
          <w:sz w:val="24"/>
        </w:rPr>
      </w:pPr>
      <w:r w:rsidRPr="00A34A18">
        <w:rPr>
          <w:sz w:val="24"/>
        </w:rPr>
        <w:t>The objectives have been created in response to:</w:t>
      </w:r>
    </w:p>
    <w:p w:rsidR="003F266A" w:rsidRPr="00A34A18" w:rsidRDefault="003F266A" w:rsidP="003F266A">
      <w:pPr>
        <w:rPr>
          <w:sz w:val="24"/>
        </w:rPr>
      </w:pPr>
    </w:p>
    <w:p w:rsidR="003F266A" w:rsidRPr="00A34A18" w:rsidRDefault="003F266A" w:rsidP="003F266A">
      <w:pPr>
        <w:numPr>
          <w:ilvl w:val="0"/>
          <w:numId w:val="1"/>
        </w:numPr>
        <w:rPr>
          <w:sz w:val="24"/>
        </w:rPr>
      </w:pPr>
      <w:r w:rsidRPr="00A34A18">
        <w:rPr>
          <w:sz w:val="24"/>
        </w:rPr>
        <w:t>the anticipated financial needs of the organization</w:t>
      </w:r>
    </w:p>
    <w:p w:rsidR="003F266A" w:rsidRPr="00A34A18" w:rsidRDefault="003F266A" w:rsidP="003F266A">
      <w:pPr>
        <w:numPr>
          <w:ilvl w:val="0"/>
          <w:numId w:val="1"/>
        </w:numPr>
        <w:rPr>
          <w:sz w:val="24"/>
        </w:rPr>
      </w:pPr>
      <w:r w:rsidRPr="00A34A18">
        <w:rPr>
          <w:sz w:val="24"/>
        </w:rPr>
        <w:t xml:space="preserve">the organization’s </w:t>
      </w:r>
      <w:r w:rsidR="00E87C42">
        <w:rPr>
          <w:sz w:val="24"/>
        </w:rPr>
        <w:t>investment policy and anticipated market returns</w:t>
      </w:r>
      <w:r w:rsidRPr="00A34A18">
        <w:rPr>
          <w:sz w:val="24"/>
        </w:rPr>
        <w:t>; and</w:t>
      </w:r>
    </w:p>
    <w:p w:rsidR="003F266A" w:rsidRPr="00A34A18" w:rsidRDefault="00E87C42" w:rsidP="003F266A">
      <w:pPr>
        <w:numPr>
          <w:ilvl w:val="0"/>
          <w:numId w:val="1"/>
        </w:numPr>
        <w:rPr>
          <w:sz w:val="24"/>
        </w:rPr>
      </w:pPr>
      <w:proofErr w:type="gramStart"/>
      <w:r>
        <w:rPr>
          <w:sz w:val="24"/>
        </w:rPr>
        <w:t>the</w:t>
      </w:r>
      <w:proofErr w:type="gramEnd"/>
      <w:r>
        <w:rPr>
          <w:sz w:val="24"/>
        </w:rPr>
        <w:t xml:space="preserve"> need to adequately plan for scholarship distributions </w:t>
      </w:r>
      <w:r w:rsidR="002550E2">
        <w:rPr>
          <w:sz w:val="24"/>
        </w:rPr>
        <w:t xml:space="preserve">for the current year and in </w:t>
      </w:r>
      <w:r>
        <w:rPr>
          <w:sz w:val="24"/>
        </w:rPr>
        <w:t>future</w:t>
      </w:r>
      <w:r w:rsidR="002550E2">
        <w:rPr>
          <w:sz w:val="24"/>
        </w:rPr>
        <w:t xml:space="preserve"> years</w:t>
      </w:r>
      <w:r>
        <w:rPr>
          <w:sz w:val="24"/>
        </w:rPr>
        <w:t xml:space="preserve"> to maximize the benefit to the student while also appropriately growing the</w:t>
      </w:r>
      <w:r w:rsidR="00CC602D">
        <w:rPr>
          <w:sz w:val="24"/>
        </w:rPr>
        <w:t xml:space="preserve"> endowment of the</w:t>
      </w:r>
      <w:r>
        <w:rPr>
          <w:sz w:val="24"/>
        </w:rPr>
        <w:t xml:space="preserve"> Foundation.</w:t>
      </w:r>
    </w:p>
    <w:p w:rsidR="003F266A" w:rsidRPr="00A34A18" w:rsidRDefault="003F266A" w:rsidP="003F266A">
      <w:pPr>
        <w:numPr>
          <w:ilvl w:val="12"/>
          <w:numId w:val="0"/>
        </w:numPr>
        <w:ind w:left="360" w:hanging="360"/>
        <w:rPr>
          <w:sz w:val="24"/>
        </w:rPr>
      </w:pPr>
    </w:p>
    <w:p w:rsidR="003F266A" w:rsidRPr="00A34A18" w:rsidRDefault="003F266A" w:rsidP="003F266A">
      <w:pPr>
        <w:rPr>
          <w:sz w:val="24"/>
        </w:rPr>
      </w:pPr>
      <w:r w:rsidRPr="00A34A18">
        <w:rPr>
          <w:sz w:val="24"/>
        </w:rPr>
        <w:t>This policy is to be communicated to any in</w:t>
      </w:r>
      <w:r w:rsidR="00E87C42">
        <w:rPr>
          <w:sz w:val="24"/>
        </w:rPr>
        <w:t>dividual associated with the distrib</w:t>
      </w:r>
      <w:r w:rsidR="00CC602D">
        <w:rPr>
          <w:sz w:val="24"/>
        </w:rPr>
        <w:t>ution of any of the scholarship funds</w:t>
      </w:r>
      <w:r w:rsidR="00E87C42">
        <w:rPr>
          <w:sz w:val="24"/>
        </w:rPr>
        <w:t xml:space="preserve"> managed by the Foundation.  </w:t>
      </w:r>
      <w:r w:rsidR="003950C2">
        <w:rPr>
          <w:sz w:val="24"/>
        </w:rPr>
        <w:t>The spending rate should be no more than 6% or less than 3% of the moving average market value.  The</w:t>
      </w:r>
      <w:r w:rsidRPr="00A34A18">
        <w:rPr>
          <w:sz w:val="24"/>
        </w:rPr>
        <w:t xml:space="preserve"> </w:t>
      </w:r>
      <w:r w:rsidR="003950C2">
        <w:rPr>
          <w:sz w:val="24"/>
        </w:rPr>
        <w:t xml:space="preserve">spending </w:t>
      </w:r>
      <w:r w:rsidRPr="00A34A18">
        <w:rPr>
          <w:sz w:val="24"/>
        </w:rPr>
        <w:t>policy</w:t>
      </w:r>
      <w:r w:rsidR="003950C2">
        <w:rPr>
          <w:sz w:val="24"/>
        </w:rPr>
        <w:t xml:space="preserve"> rate</w:t>
      </w:r>
      <w:r w:rsidRPr="00A34A18">
        <w:rPr>
          <w:sz w:val="24"/>
        </w:rPr>
        <w:t xml:space="preserve"> will be reviewed by the Executive Committee on an annual basis.</w:t>
      </w:r>
    </w:p>
    <w:p w:rsidR="00450E28" w:rsidRPr="00A34A18" w:rsidRDefault="00450E28" w:rsidP="00450E28">
      <w:pPr>
        <w:ind w:right="-720"/>
        <w:rPr>
          <w:sz w:val="24"/>
        </w:rPr>
      </w:pPr>
    </w:p>
    <w:p w:rsidR="000F2390" w:rsidRDefault="000F2390" w:rsidP="00450E28">
      <w:pPr>
        <w:ind w:right="-720"/>
        <w:rPr>
          <w:b/>
          <w:sz w:val="24"/>
          <w:u w:val="single"/>
        </w:rPr>
      </w:pPr>
    </w:p>
    <w:p w:rsidR="00EF3833" w:rsidRPr="00A34A18" w:rsidRDefault="000F2390" w:rsidP="00450E28">
      <w:pPr>
        <w:ind w:right="-720"/>
        <w:rPr>
          <w:b/>
          <w:sz w:val="24"/>
          <w:u w:val="single"/>
        </w:rPr>
      </w:pPr>
      <w:r>
        <w:rPr>
          <w:b/>
          <w:sz w:val="24"/>
          <w:u w:val="single"/>
        </w:rPr>
        <w:t>SPENDING POLICY</w:t>
      </w:r>
    </w:p>
    <w:p w:rsidR="00450E28" w:rsidRDefault="00450E28" w:rsidP="00EF3833">
      <w:pPr>
        <w:ind w:right="-720"/>
        <w:rPr>
          <w:sz w:val="24"/>
        </w:rPr>
      </w:pPr>
    </w:p>
    <w:p w:rsidR="000F2390" w:rsidRDefault="003950C2" w:rsidP="00EF3833">
      <w:pPr>
        <w:ind w:right="-720"/>
        <w:rPr>
          <w:sz w:val="24"/>
        </w:rPr>
      </w:pPr>
      <w:r>
        <w:rPr>
          <w:sz w:val="24"/>
        </w:rPr>
        <w:t>The annual distribution target</w:t>
      </w:r>
      <w:r w:rsidR="000F2390">
        <w:rPr>
          <w:sz w:val="24"/>
        </w:rPr>
        <w:t xml:space="preserve"> shall be 4% of the endowment fund’s trailing </w:t>
      </w:r>
      <w:r w:rsidR="00CC602D">
        <w:rPr>
          <w:sz w:val="24"/>
        </w:rPr>
        <w:t>three-year (</w:t>
      </w:r>
      <w:r w:rsidR="000F2390">
        <w:rPr>
          <w:sz w:val="24"/>
        </w:rPr>
        <w:t>12 calendar quarter</w:t>
      </w:r>
      <w:r w:rsidR="00CC602D">
        <w:rPr>
          <w:sz w:val="24"/>
        </w:rPr>
        <w:t>s)</w:t>
      </w:r>
      <w:r w:rsidR="000F2390">
        <w:rPr>
          <w:sz w:val="24"/>
        </w:rPr>
        <w:t xml:space="preserve"> moving market value average.</w:t>
      </w:r>
    </w:p>
    <w:p w:rsidR="000F2390" w:rsidRDefault="000F2390" w:rsidP="00EF3833">
      <w:pPr>
        <w:ind w:right="-720"/>
        <w:rPr>
          <w:sz w:val="24"/>
        </w:rPr>
      </w:pPr>
    </w:p>
    <w:p w:rsidR="000F2390" w:rsidRDefault="000F2390" w:rsidP="00EF3833">
      <w:pPr>
        <w:ind w:right="-720"/>
        <w:rPr>
          <w:sz w:val="24"/>
        </w:rPr>
      </w:pPr>
      <w:r>
        <w:rPr>
          <w:sz w:val="24"/>
        </w:rPr>
        <w:t>In the initial year an endowed fund is established, the annual distribution goal shall be 4% of the beginning market value of th</w:t>
      </w:r>
      <w:r w:rsidR="002550E2">
        <w:rPr>
          <w:sz w:val="24"/>
        </w:rPr>
        <w:t>e endowment.  However, the annual distribution may not be made until the endowed fund has been established and invested for at least one calendar year.</w:t>
      </w:r>
    </w:p>
    <w:p w:rsidR="002550E2" w:rsidRDefault="002550E2" w:rsidP="00EF3833">
      <w:pPr>
        <w:ind w:right="-720"/>
        <w:rPr>
          <w:sz w:val="24"/>
        </w:rPr>
      </w:pPr>
    </w:p>
    <w:p w:rsidR="002550E2" w:rsidRPr="00A34A18" w:rsidRDefault="002550E2" w:rsidP="00EF3833">
      <w:pPr>
        <w:ind w:right="-720"/>
        <w:rPr>
          <w:sz w:val="24"/>
        </w:rPr>
      </w:pPr>
      <w:r>
        <w:rPr>
          <w:sz w:val="24"/>
        </w:rPr>
        <w:t>In subsequent years, the annual distribution may be made anytime during the fiscal year at the request of the fund administrator.  Unless there is prior approval, annual distributions shall not be carried over between fiscal years.</w:t>
      </w:r>
    </w:p>
    <w:p w:rsidR="00835A95" w:rsidRPr="00A34A18" w:rsidRDefault="00835A95" w:rsidP="006A2AEB">
      <w:pPr>
        <w:jc w:val="center"/>
        <w:rPr>
          <w:sz w:val="24"/>
          <w:szCs w:val="24"/>
        </w:rPr>
      </w:pPr>
    </w:p>
    <w:p w:rsidR="006A2AEB" w:rsidRPr="00A34A18" w:rsidRDefault="006A2AEB" w:rsidP="006A2AEB">
      <w:pPr>
        <w:rPr>
          <w:b/>
          <w:i/>
          <w:sz w:val="24"/>
          <w:szCs w:val="24"/>
        </w:rPr>
      </w:pPr>
    </w:p>
    <w:p w:rsidR="00F14BC6" w:rsidRPr="00A34A18" w:rsidRDefault="00F14BC6" w:rsidP="006A2AEB">
      <w:pPr>
        <w:rPr>
          <w:b/>
          <w:i/>
          <w:sz w:val="24"/>
          <w:szCs w:val="24"/>
        </w:rPr>
      </w:pPr>
    </w:p>
    <w:p w:rsidR="00F14BC6" w:rsidRDefault="00F14BC6" w:rsidP="006A2AEB">
      <w:pPr>
        <w:rPr>
          <w:b/>
          <w:sz w:val="24"/>
          <w:szCs w:val="24"/>
        </w:rPr>
      </w:pPr>
    </w:p>
    <w:p w:rsidR="00F14BC6" w:rsidRPr="00F14BC6" w:rsidRDefault="00F14BC6" w:rsidP="006A2AEB">
      <w:pPr>
        <w:rPr>
          <w:b/>
          <w:sz w:val="24"/>
          <w:szCs w:val="24"/>
        </w:rPr>
      </w:pPr>
    </w:p>
    <w:sectPr w:rsidR="00F14BC6" w:rsidRPr="00F14BC6" w:rsidSect="00AB2D50">
      <w:footerReference w:type="even"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E3" w:rsidRDefault="00487CE3">
      <w:r>
        <w:separator/>
      </w:r>
    </w:p>
  </w:endnote>
  <w:endnote w:type="continuationSeparator" w:id="0">
    <w:p w:rsidR="00487CE3" w:rsidRDefault="0048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C" w:rsidRDefault="0052051C" w:rsidP="00E97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51C" w:rsidRDefault="0052051C" w:rsidP="005B70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C" w:rsidRDefault="0052051C" w:rsidP="005B70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E3" w:rsidRDefault="00487CE3">
      <w:r>
        <w:separator/>
      </w:r>
    </w:p>
  </w:footnote>
  <w:footnote w:type="continuationSeparator" w:id="0">
    <w:p w:rsidR="00487CE3" w:rsidRDefault="00487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1293EC5"/>
    <w:multiLevelType w:val="singleLevel"/>
    <w:tmpl w:val="8AA6A4A6"/>
    <w:lvl w:ilvl="0">
      <w:start w:val="5"/>
      <w:numFmt w:val="decimal"/>
      <w:lvlText w:val="%1."/>
      <w:lvlJc w:val="left"/>
      <w:pPr>
        <w:tabs>
          <w:tab w:val="num" w:pos="720"/>
        </w:tabs>
        <w:ind w:left="720" w:hanging="504"/>
      </w:pPr>
      <w:rPr>
        <w:rFonts w:hint="default"/>
      </w:rPr>
    </w:lvl>
  </w:abstractNum>
  <w:abstractNum w:abstractNumId="2">
    <w:nsid w:val="3A2D1D28"/>
    <w:multiLevelType w:val="hybridMultilevel"/>
    <w:tmpl w:val="5538C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7561E"/>
    <w:multiLevelType w:val="hybridMultilevel"/>
    <w:tmpl w:val="F9364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916AE"/>
    <w:multiLevelType w:val="singleLevel"/>
    <w:tmpl w:val="88B87BCA"/>
    <w:lvl w:ilvl="0">
      <w:start w:val="2"/>
      <w:numFmt w:val="decimal"/>
      <w:lvlText w:val="%1."/>
      <w:lvlJc w:val="left"/>
      <w:pPr>
        <w:tabs>
          <w:tab w:val="num" w:pos="726"/>
        </w:tabs>
        <w:ind w:left="726" w:hanging="510"/>
      </w:pPr>
      <w:rPr>
        <w:rFonts w:hint="default"/>
      </w:rPr>
    </w:lvl>
  </w:abstractNum>
  <w:abstractNum w:abstractNumId="5">
    <w:nsid w:val="5BB611A4"/>
    <w:multiLevelType w:val="singleLevel"/>
    <w:tmpl w:val="F03A82C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6A"/>
    <w:rsid w:val="0001126A"/>
    <w:rsid w:val="00014E9F"/>
    <w:rsid w:val="000317C9"/>
    <w:rsid w:val="00041CDD"/>
    <w:rsid w:val="0004476C"/>
    <w:rsid w:val="00085B12"/>
    <w:rsid w:val="00097146"/>
    <w:rsid w:val="000B6D4E"/>
    <w:rsid w:val="000D45A9"/>
    <w:rsid w:val="000F2390"/>
    <w:rsid w:val="00102500"/>
    <w:rsid w:val="0011248A"/>
    <w:rsid w:val="001151CB"/>
    <w:rsid w:val="00126337"/>
    <w:rsid w:val="0013036D"/>
    <w:rsid w:val="00160247"/>
    <w:rsid w:val="001703FC"/>
    <w:rsid w:val="00175AF3"/>
    <w:rsid w:val="00197BB4"/>
    <w:rsid w:val="001A241F"/>
    <w:rsid w:val="001A6395"/>
    <w:rsid w:val="001B277D"/>
    <w:rsid w:val="001C1922"/>
    <w:rsid w:val="001C2939"/>
    <w:rsid w:val="001F0C2F"/>
    <w:rsid w:val="001F2FA0"/>
    <w:rsid w:val="0020529E"/>
    <w:rsid w:val="002055CE"/>
    <w:rsid w:val="0022126D"/>
    <w:rsid w:val="002352F2"/>
    <w:rsid w:val="00240BE9"/>
    <w:rsid w:val="002510E1"/>
    <w:rsid w:val="002550E2"/>
    <w:rsid w:val="0026387E"/>
    <w:rsid w:val="002764FA"/>
    <w:rsid w:val="00293115"/>
    <w:rsid w:val="002960FE"/>
    <w:rsid w:val="002A4320"/>
    <w:rsid w:val="002A79F0"/>
    <w:rsid w:val="002D296C"/>
    <w:rsid w:val="002E2188"/>
    <w:rsid w:val="002E3E43"/>
    <w:rsid w:val="002E6A46"/>
    <w:rsid w:val="002E7DDA"/>
    <w:rsid w:val="002F4D78"/>
    <w:rsid w:val="003350A8"/>
    <w:rsid w:val="00336530"/>
    <w:rsid w:val="00346936"/>
    <w:rsid w:val="003618CA"/>
    <w:rsid w:val="00362956"/>
    <w:rsid w:val="00374E25"/>
    <w:rsid w:val="003801F5"/>
    <w:rsid w:val="003854B7"/>
    <w:rsid w:val="003873EB"/>
    <w:rsid w:val="00393499"/>
    <w:rsid w:val="003950C2"/>
    <w:rsid w:val="00395E06"/>
    <w:rsid w:val="003B2097"/>
    <w:rsid w:val="003B51DF"/>
    <w:rsid w:val="003F266A"/>
    <w:rsid w:val="0040349C"/>
    <w:rsid w:val="00410641"/>
    <w:rsid w:val="0042359B"/>
    <w:rsid w:val="004409DE"/>
    <w:rsid w:val="0044471F"/>
    <w:rsid w:val="00450E28"/>
    <w:rsid w:val="00472EB4"/>
    <w:rsid w:val="004749D1"/>
    <w:rsid w:val="004804F6"/>
    <w:rsid w:val="004835B8"/>
    <w:rsid w:val="004878AC"/>
    <w:rsid w:val="00487CE3"/>
    <w:rsid w:val="0049694B"/>
    <w:rsid w:val="004A43A2"/>
    <w:rsid w:val="004D1B8B"/>
    <w:rsid w:val="004D4615"/>
    <w:rsid w:val="004D7FE5"/>
    <w:rsid w:val="004F1153"/>
    <w:rsid w:val="004F1A5A"/>
    <w:rsid w:val="0052051C"/>
    <w:rsid w:val="005209D4"/>
    <w:rsid w:val="0057040B"/>
    <w:rsid w:val="00575C87"/>
    <w:rsid w:val="0059460F"/>
    <w:rsid w:val="005B2AED"/>
    <w:rsid w:val="005B70B3"/>
    <w:rsid w:val="005C0CBF"/>
    <w:rsid w:val="005C49B9"/>
    <w:rsid w:val="005C5FEB"/>
    <w:rsid w:val="005E547F"/>
    <w:rsid w:val="005F4EB6"/>
    <w:rsid w:val="00604EA0"/>
    <w:rsid w:val="00606B62"/>
    <w:rsid w:val="00607B4C"/>
    <w:rsid w:val="00620364"/>
    <w:rsid w:val="00642D68"/>
    <w:rsid w:val="00673602"/>
    <w:rsid w:val="006807A4"/>
    <w:rsid w:val="00681909"/>
    <w:rsid w:val="00682D93"/>
    <w:rsid w:val="006929DF"/>
    <w:rsid w:val="00694CF9"/>
    <w:rsid w:val="006A2AEB"/>
    <w:rsid w:val="006A5E9D"/>
    <w:rsid w:val="006C2DB4"/>
    <w:rsid w:val="006C5078"/>
    <w:rsid w:val="00716122"/>
    <w:rsid w:val="00717500"/>
    <w:rsid w:val="00720634"/>
    <w:rsid w:val="00721B07"/>
    <w:rsid w:val="00734718"/>
    <w:rsid w:val="00740029"/>
    <w:rsid w:val="00744E8B"/>
    <w:rsid w:val="00744EAC"/>
    <w:rsid w:val="0076386F"/>
    <w:rsid w:val="00782617"/>
    <w:rsid w:val="007A33D9"/>
    <w:rsid w:val="007B5171"/>
    <w:rsid w:val="007B7614"/>
    <w:rsid w:val="007C7575"/>
    <w:rsid w:val="007D0D87"/>
    <w:rsid w:val="007D29A3"/>
    <w:rsid w:val="008160FC"/>
    <w:rsid w:val="0083210C"/>
    <w:rsid w:val="00835A95"/>
    <w:rsid w:val="00837A3F"/>
    <w:rsid w:val="0084662A"/>
    <w:rsid w:val="00854129"/>
    <w:rsid w:val="008618E4"/>
    <w:rsid w:val="0088213B"/>
    <w:rsid w:val="008B1F1B"/>
    <w:rsid w:val="008B5494"/>
    <w:rsid w:val="008C0534"/>
    <w:rsid w:val="008D3B20"/>
    <w:rsid w:val="00900CB8"/>
    <w:rsid w:val="00905662"/>
    <w:rsid w:val="009057E2"/>
    <w:rsid w:val="009147F5"/>
    <w:rsid w:val="009262B7"/>
    <w:rsid w:val="00937AEB"/>
    <w:rsid w:val="00943EAB"/>
    <w:rsid w:val="009662DD"/>
    <w:rsid w:val="009752EE"/>
    <w:rsid w:val="0097614E"/>
    <w:rsid w:val="00994004"/>
    <w:rsid w:val="009A0032"/>
    <w:rsid w:val="009C2FB8"/>
    <w:rsid w:val="009F7EB9"/>
    <w:rsid w:val="00A12CB1"/>
    <w:rsid w:val="00A22B9E"/>
    <w:rsid w:val="00A329E6"/>
    <w:rsid w:val="00A34A18"/>
    <w:rsid w:val="00A35779"/>
    <w:rsid w:val="00A45878"/>
    <w:rsid w:val="00A50DF2"/>
    <w:rsid w:val="00A64289"/>
    <w:rsid w:val="00A65B8A"/>
    <w:rsid w:val="00A80F1B"/>
    <w:rsid w:val="00A83FC4"/>
    <w:rsid w:val="00A937DF"/>
    <w:rsid w:val="00AB2D50"/>
    <w:rsid w:val="00AD0B9E"/>
    <w:rsid w:val="00AE6290"/>
    <w:rsid w:val="00AF32E7"/>
    <w:rsid w:val="00AF5A0C"/>
    <w:rsid w:val="00B03F8B"/>
    <w:rsid w:val="00B05AF7"/>
    <w:rsid w:val="00B14B78"/>
    <w:rsid w:val="00B2200C"/>
    <w:rsid w:val="00B322D9"/>
    <w:rsid w:val="00B32364"/>
    <w:rsid w:val="00B43ECE"/>
    <w:rsid w:val="00B45CCA"/>
    <w:rsid w:val="00B4781F"/>
    <w:rsid w:val="00B76D57"/>
    <w:rsid w:val="00B80E04"/>
    <w:rsid w:val="00B869B0"/>
    <w:rsid w:val="00B96549"/>
    <w:rsid w:val="00BA2610"/>
    <w:rsid w:val="00BB050F"/>
    <w:rsid w:val="00BD6496"/>
    <w:rsid w:val="00BE52A9"/>
    <w:rsid w:val="00BE733F"/>
    <w:rsid w:val="00C0637C"/>
    <w:rsid w:val="00C220F3"/>
    <w:rsid w:val="00C241A5"/>
    <w:rsid w:val="00C37668"/>
    <w:rsid w:val="00C4330D"/>
    <w:rsid w:val="00C44C05"/>
    <w:rsid w:val="00C5008A"/>
    <w:rsid w:val="00C84258"/>
    <w:rsid w:val="00C94ADF"/>
    <w:rsid w:val="00CA6EBB"/>
    <w:rsid w:val="00CA7500"/>
    <w:rsid w:val="00CB4790"/>
    <w:rsid w:val="00CC602D"/>
    <w:rsid w:val="00CC78C2"/>
    <w:rsid w:val="00CE072D"/>
    <w:rsid w:val="00CF2876"/>
    <w:rsid w:val="00D01EE1"/>
    <w:rsid w:val="00D0268A"/>
    <w:rsid w:val="00D14842"/>
    <w:rsid w:val="00D176E1"/>
    <w:rsid w:val="00D2053A"/>
    <w:rsid w:val="00D21EA1"/>
    <w:rsid w:val="00D3285A"/>
    <w:rsid w:val="00D47687"/>
    <w:rsid w:val="00D53D75"/>
    <w:rsid w:val="00D74F09"/>
    <w:rsid w:val="00DC0305"/>
    <w:rsid w:val="00DC2B2E"/>
    <w:rsid w:val="00DC4DC9"/>
    <w:rsid w:val="00DF15FF"/>
    <w:rsid w:val="00E0525D"/>
    <w:rsid w:val="00E302FA"/>
    <w:rsid w:val="00E620F3"/>
    <w:rsid w:val="00E71C7A"/>
    <w:rsid w:val="00E744DD"/>
    <w:rsid w:val="00E80CB6"/>
    <w:rsid w:val="00E87C42"/>
    <w:rsid w:val="00E90386"/>
    <w:rsid w:val="00E97308"/>
    <w:rsid w:val="00EA40FD"/>
    <w:rsid w:val="00EA55E9"/>
    <w:rsid w:val="00ED5564"/>
    <w:rsid w:val="00EE4843"/>
    <w:rsid w:val="00EF3833"/>
    <w:rsid w:val="00F055DB"/>
    <w:rsid w:val="00F14BC6"/>
    <w:rsid w:val="00F46302"/>
    <w:rsid w:val="00F51F5A"/>
    <w:rsid w:val="00F530CE"/>
    <w:rsid w:val="00F71E31"/>
    <w:rsid w:val="00F7637F"/>
    <w:rsid w:val="00F93CB6"/>
    <w:rsid w:val="00FC5214"/>
    <w:rsid w:val="00FD4DA4"/>
    <w:rsid w:val="00FE00F7"/>
    <w:rsid w:val="00FE05D9"/>
    <w:rsid w:val="00FE2A62"/>
    <w:rsid w:val="00FE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66A"/>
  </w:style>
  <w:style w:type="paragraph" w:styleId="Heading1">
    <w:name w:val="heading 1"/>
    <w:basedOn w:val="Normal"/>
    <w:next w:val="Normal"/>
    <w:link w:val="Heading1Char"/>
    <w:qFormat/>
    <w:rsid w:val="00CC60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C602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B869B0"/>
    <w:pPr>
      <w:keepNext/>
      <w:keepLines/>
      <w:spacing w:line="220" w:lineRule="exact"/>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9B0"/>
    <w:pPr>
      <w:keepNext/>
      <w:keepLines/>
      <w:spacing w:line="220" w:lineRule="exact"/>
      <w:jc w:val="both"/>
    </w:pPr>
  </w:style>
  <w:style w:type="paragraph" w:styleId="Footer">
    <w:name w:val="footer"/>
    <w:basedOn w:val="Normal"/>
    <w:rsid w:val="005B70B3"/>
    <w:pPr>
      <w:tabs>
        <w:tab w:val="center" w:pos="4320"/>
        <w:tab w:val="right" w:pos="8640"/>
      </w:tabs>
    </w:pPr>
  </w:style>
  <w:style w:type="character" w:styleId="PageNumber">
    <w:name w:val="page number"/>
    <w:basedOn w:val="DefaultParagraphFont"/>
    <w:rsid w:val="005B70B3"/>
  </w:style>
  <w:style w:type="paragraph" w:styleId="BalloonText">
    <w:name w:val="Balloon Text"/>
    <w:basedOn w:val="Normal"/>
    <w:semiHidden/>
    <w:rsid w:val="00717500"/>
    <w:rPr>
      <w:rFonts w:ascii="Tahoma" w:hAnsi="Tahoma" w:cs="Tahoma"/>
      <w:sz w:val="16"/>
      <w:szCs w:val="16"/>
    </w:rPr>
  </w:style>
  <w:style w:type="character" w:customStyle="1" w:styleId="Heading1Char">
    <w:name w:val="Heading 1 Char"/>
    <w:basedOn w:val="DefaultParagraphFont"/>
    <w:link w:val="Heading1"/>
    <w:rsid w:val="00CC602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CC602D"/>
    <w:rPr>
      <w:rFonts w:asciiTheme="majorHAnsi" w:eastAsiaTheme="majorEastAsia" w:hAnsiTheme="majorHAnsi" w:cstheme="majorBidi"/>
      <w:b/>
      <w:bCs/>
      <w:color w:val="4F81BD" w:themeColor="accent1"/>
    </w:rPr>
  </w:style>
  <w:style w:type="paragraph" w:styleId="Header">
    <w:name w:val="header"/>
    <w:basedOn w:val="Normal"/>
    <w:link w:val="HeaderChar"/>
    <w:rsid w:val="00CC602D"/>
    <w:pPr>
      <w:widowControl w:val="0"/>
      <w:tabs>
        <w:tab w:val="center" w:pos="4320"/>
        <w:tab w:val="right" w:pos="8640"/>
      </w:tabs>
    </w:pPr>
    <w:rPr>
      <w:snapToGrid w:val="0"/>
      <w:sz w:val="24"/>
    </w:rPr>
  </w:style>
  <w:style w:type="character" w:customStyle="1" w:styleId="HeaderChar">
    <w:name w:val="Header Char"/>
    <w:basedOn w:val="DefaultParagraphFont"/>
    <w:link w:val="Header"/>
    <w:rsid w:val="00CC602D"/>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66A"/>
  </w:style>
  <w:style w:type="paragraph" w:styleId="Heading1">
    <w:name w:val="heading 1"/>
    <w:basedOn w:val="Normal"/>
    <w:next w:val="Normal"/>
    <w:link w:val="Heading1Char"/>
    <w:qFormat/>
    <w:rsid w:val="00CC60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C602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B869B0"/>
    <w:pPr>
      <w:keepNext/>
      <w:keepLines/>
      <w:spacing w:line="220" w:lineRule="exact"/>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9B0"/>
    <w:pPr>
      <w:keepNext/>
      <w:keepLines/>
      <w:spacing w:line="220" w:lineRule="exact"/>
      <w:jc w:val="both"/>
    </w:pPr>
  </w:style>
  <w:style w:type="paragraph" w:styleId="Footer">
    <w:name w:val="footer"/>
    <w:basedOn w:val="Normal"/>
    <w:rsid w:val="005B70B3"/>
    <w:pPr>
      <w:tabs>
        <w:tab w:val="center" w:pos="4320"/>
        <w:tab w:val="right" w:pos="8640"/>
      </w:tabs>
    </w:pPr>
  </w:style>
  <w:style w:type="character" w:styleId="PageNumber">
    <w:name w:val="page number"/>
    <w:basedOn w:val="DefaultParagraphFont"/>
    <w:rsid w:val="005B70B3"/>
  </w:style>
  <w:style w:type="paragraph" w:styleId="BalloonText">
    <w:name w:val="Balloon Text"/>
    <w:basedOn w:val="Normal"/>
    <w:semiHidden/>
    <w:rsid w:val="00717500"/>
    <w:rPr>
      <w:rFonts w:ascii="Tahoma" w:hAnsi="Tahoma" w:cs="Tahoma"/>
      <w:sz w:val="16"/>
      <w:szCs w:val="16"/>
    </w:rPr>
  </w:style>
  <w:style w:type="character" w:customStyle="1" w:styleId="Heading1Char">
    <w:name w:val="Heading 1 Char"/>
    <w:basedOn w:val="DefaultParagraphFont"/>
    <w:link w:val="Heading1"/>
    <w:rsid w:val="00CC602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CC602D"/>
    <w:rPr>
      <w:rFonts w:asciiTheme="majorHAnsi" w:eastAsiaTheme="majorEastAsia" w:hAnsiTheme="majorHAnsi" w:cstheme="majorBidi"/>
      <w:b/>
      <w:bCs/>
      <w:color w:val="4F81BD" w:themeColor="accent1"/>
    </w:rPr>
  </w:style>
  <w:style w:type="paragraph" w:styleId="Header">
    <w:name w:val="header"/>
    <w:basedOn w:val="Normal"/>
    <w:link w:val="HeaderChar"/>
    <w:rsid w:val="00CC602D"/>
    <w:pPr>
      <w:widowControl w:val="0"/>
      <w:tabs>
        <w:tab w:val="center" w:pos="4320"/>
        <w:tab w:val="right" w:pos="8640"/>
      </w:tabs>
    </w:pPr>
    <w:rPr>
      <w:snapToGrid w:val="0"/>
      <w:sz w:val="24"/>
    </w:rPr>
  </w:style>
  <w:style w:type="character" w:customStyle="1" w:styleId="HeaderChar">
    <w:name w:val="Header Char"/>
    <w:basedOn w:val="DefaultParagraphFont"/>
    <w:link w:val="Header"/>
    <w:rsid w:val="00CC602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College Heights Foundation</vt:lpstr>
    </vt:vector>
  </TitlesOfParts>
  <Company>Wachovia Securities</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Heights Foundation</dc:title>
  <dc:creator>Wachovia</dc:creator>
  <cp:lastModifiedBy>Smith, Donald</cp:lastModifiedBy>
  <cp:revision>2</cp:revision>
  <cp:lastPrinted>2013-04-23T18:36:00Z</cp:lastPrinted>
  <dcterms:created xsi:type="dcterms:W3CDTF">2015-12-03T15:30:00Z</dcterms:created>
  <dcterms:modified xsi:type="dcterms:W3CDTF">2015-12-03T15:30:00Z</dcterms:modified>
</cp:coreProperties>
</file>