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6E" w:rsidRDefault="008319CE">
      <w:r>
        <w:t>Motion to allow COMM 553</w:t>
      </w:r>
      <w:r w:rsidR="00044F26">
        <w:t xml:space="preserve"> </w:t>
      </w:r>
      <w:r>
        <w:t>as an equivalent for PH 576 in the Health Education certificate.</w:t>
      </w:r>
    </w:p>
    <w:p w:rsidR="008319CE" w:rsidRDefault="008319CE"/>
    <w:p w:rsidR="008319CE" w:rsidRPr="00A5224D" w:rsidRDefault="008319CE">
      <w:pPr>
        <w:rPr>
          <w:u w:val="single"/>
        </w:rPr>
      </w:pPr>
      <w:r w:rsidRPr="00A5224D">
        <w:rPr>
          <w:u w:val="single"/>
        </w:rPr>
        <w:t>Rationale</w:t>
      </w:r>
    </w:p>
    <w:p w:rsidR="008319CE" w:rsidRDefault="008319CE">
      <w:r>
        <w:t xml:space="preserve">There is a substantial amount of overlap in the content of the two </w:t>
      </w:r>
      <w:proofErr w:type="gramStart"/>
      <w:r>
        <w:t>courses</w:t>
      </w:r>
      <w:r w:rsidR="00A5224D">
        <w:t>,</w:t>
      </w:r>
      <w:proofErr w:type="gramEnd"/>
      <w:r w:rsidR="00A5224D">
        <w:t xml:space="preserve"> insomuch as both focus on creating effective health promotion campaigns (see </w:t>
      </w:r>
      <w:proofErr w:type="spellStart"/>
      <w:r w:rsidR="00A5224D">
        <w:t>syallabi</w:t>
      </w:r>
      <w:proofErr w:type="spellEnd"/>
      <w:r w:rsidR="00A5224D">
        <w:t xml:space="preserve"> for each). </w:t>
      </w:r>
      <w:r w:rsidR="00FB52CF">
        <w:t>Importantly, COMM 553 aligns well with the NCHEC standards used to create the HE certificate and thus aligns with the certificate’s objectives.</w:t>
      </w:r>
    </w:p>
    <w:p w:rsidR="00FB52CF" w:rsidRDefault="00FB52CF">
      <w:r>
        <w:t>A</w:t>
      </w:r>
      <w:r>
        <w:t>llowing</w:t>
      </w:r>
      <w:r>
        <w:t xml:space="preserve"> COMM 553 as an equivalent </w:t>
      </w:r>
      <w:r>
        <w:t>allow</w:t>
      </w:r>
      <w:r>
        <w:t>s</w:t>
      </w:r>
      <w:r>
        <w:t xml:space="preserve"> us to offer PH 576 less frequently</w:t>
      </w:r>
      <w:r>
        <w:t xml:space="preserve">.  </w:t>
      </w:r>
    </w:p>
    <w:p w:rsidR="00A5224D" w:rsidRDefault="00A5224D">
      <w:r>
        <w:t xml:space="preserve">Selecting COMM 553 will allow MPH students to get both the Health Education and Communicating in Healthcare certificates </w:t>
      </w:r>
      <w:r w:rsidR="00787999">
        <w:t>by taking one additional</w:t>
      </w:r>
      <w:r w:rsidR="00044F26">
        <w:t xml:space="preserve"> </w:t>
      </w:r>
      <w:r w:rsidR="00533F4B">
        <w:t>COMM course (COMM 523) as shown below:</w:t>
      </w:r>
      <w:r w:rsidR="00787999">
        <w:t xml:space="preserve"> 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430"/>
        <w:gridCol w:w="1619"/>
        <w:gridCol w:w="1441"/>
        <w:gridCol w:w="1710"/>
      </w:tblGrid>
      <w:tr w:rsidR="00A5224D" w:rsidTr="00787999">
        <w:tc>
          <w:tcPr>
            <w:tcW w:w="2430" w:type="dxa"/>
          </w:tcPr>
          <w:p w:rsidR="00A5224D" w:rsidRDefault="00787999">
            <w:r>
              <w:t>Courses</w:t>
            </w:r>
          </w:p>
        </w:tc>
        <w:tc>
          <w:tcPr>
            <w:tcW w:w="1619" w:type="dxa"/>
          </w:tcPr>
          <w:p w:rsidR="00A5224D" w:rsidRDefault="00A22B09" w:rsidP="00044F26">
            <w:pPr>
              <w:jc w:val="center"/>
            </w:pPr>
            <w:r>
              <w:t>MPH Core</w:t>
            </w:r>
          </w:p>
        </w:tc>
        <w:tc>
          <w:tcPr>
            <w:tcW w:w="1441" w:type="dxa"/>
          </w:tcPr>
          <w:p w:rsidR="00A5224D" w:rsidRDefault="00A22B09" w:rsidP="00044F26">
            <w:pPr>
              <w:jc w:val="center"/>
            </w:pPr>
            <w:r>
              <w:t xml:space="preserve">HE </w:t>
            </w:r>
            <w:r w:rsidR="00787999">
              <w:t>Cert</w:t>
            </w:r>
          </w:p>
        </w:tc>
        <w:tc>
          <w:tcPr>
            <w:tcW w:w="1710" w:type="dxa"/>
          </w:tcPr>
          <w:p w:rsidR="00A5224D" w:rsidRDefault="00A22B09" w:rsidP="00044F26">
            <w:pPr>
              <w:jc w:val="center"/>
            </w:pPr>
            <w:r>
              <w:t>COMM</w:t>
            </w:r>
            <w:r w:rsidR="00787999">
              <w:t xml:space="preserve"> Cert</w:t>
            </w:r>
          </w:p>
        </w:tc>
      </w:tr>
      <w:tr w:rsidR="00A5224D" w:rsidTr="00787999">
        <w:tc>
          <w:tcPr>
            <w:tcW w:w="2430" w:type="dxa"/>
          </w:tcPr>
          <w:p w:rsidR="00A5224D" w:rsidRDefault="00A22B09">
            <w:r>
              <w:t>PH 587</w:t>
            </w:r>
          </w:p>
        </w:tc>
        <w:tc>
          <w:tcPr>
            <w:tcW w:w="1619" w:type="dxa"/>
          </w:tcPr>
          <w:p w:rsidR="00A5224D" w:rsidRDefault="00A22B09" w:rsidP="00044F26">
            <w:pPr>
              <w:jc w:val="center"/>
            </w:pPr>
            <w:r>
              <w:t>X</w:t>
            </w:r>
          </w:p>
        </w:tc>
        <w:tc>
          <w:tcPr>
            <w:tcW w:w="1441" w:type="dxa"/>
          </w:tcPr>
          <w:p w:rsidR="00A5224D" w:rsidRDefault="00A22B09" w:rsidP="00044F26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:rsidR="00A5224D" w:rsidRDefault="00A5224D" w:rsidP="00044F26">
            <w:pPr>
              <w:jc w:val="center"/>
            </w:pPr>
          </w:p>
        </w:tc>
      </w:tr>
      <w:tr w:rsidR="00A5224D" w:rsidTr="00787999">
        <w:tc>
          <w:tcPr>
            <w:tcW w:w="2430" w:type="dxa"/>
          </w:tcPr>
          <w:p w:rsidR="00A5224D" w:rsidRDefault="00A22B09">
            <w:r>
              <w:t>PH 575</w:t>
            </w:r>
          </w:p>
        </w:tc>
        <w:tc>
          <w:tcPr>
            <w:tcW w:w="1619" w:type="dxa"/>
          </w:tcPr>
          <w:p w:rsidR="00A5224D" w:rsidRDefault="00A22B09" w:rsidP="00044F26">
            <w:pPr>
              <w:jc w:val="center"/>
            </w:pPr>
            <w:r>
              <w:t>X</w:t>
            </w:r>
          </w:p>
        </w:tc>
        <w:tc>
          <w:tcPr>
            <w:tcW w:w="1441" w:type="dxa"/>
          </w:tcPr>
          <w:p w:rsidR="00A5224D" w:rsidRDefault="00A22B09" w:rsidP="00044F26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:rsidR="00A5224D" w:rsidRDefault="00A5224D" w:rsidP="00044F26">
            <w:pPr>
              <w:jc w:val="center"/>
            </w:pPr>
          </w:p>
        </w:tc>
      </w:tr>
      <w:tr w:rsidR="00A22B09" w:rsidTr="00787999">
        <w:tc>
          <w:tcPr>
            <w:tcW w:w="2430" w:type="dxa"/>
          </w:tcPr>
          <w:p w:rsidR="00A22B09" w:rsidRDefault="00A22B09" w:rsidP="00A22B09">
            <w:r>
              <w:t>PH 581</w:t>
            </w:r>
          </w:p>
        </w:tc>
        <w:tc>
          <w:tcPr>
            <w:tcW w:w="1619" w:type="dxa"/>
          </w:tcPr>
          <w:p w:rsidR="00A22B09" w:rsidRDefault="00A22B09" w:rsidP="00044F26">
            <w:pPr>
              <w:jc w:val="center"/>
            </w:pPr>
            <w:r>
              <w:t>X</w:t>
            </w:r>
          </w:p>
        </w:tc>
        <w:tc>
          <w:tcPr>
            <w:tcW w:w="1441" w:type="dxa"/>
          </w:tcPr>
          <w:p w:rsidR="00A22B09" w:rsidRDefault="00A22B09" w:rsidP="00044F26">
            <w:pPr>
              <w:jc w:val="center"/>
            </w:pPr>
          </w:p>
        </w:tc>
        <w:tc>
          <w:tcPr>
            <w:tcW w:w="1710" w:type="dxa"/>
          </w:tcPr>
          <w:p w:rsidR="00A22B09" w:rsidRDefault="00A22B09" w:rsidP="00044F26">
            <w:pPr>
              <w:jc w:val="center"/>
            </w:pPr>
            <w:r>
              <w:t>X</w:t>
            </w:r>
            <w:r w:rsidR="004F1714">
              <w:t xml:space="preserve"> (E)</w:t>
            </w:r>
          </w:p>
        </w:tc>
      </w:tr>
      <w:tr w:rsidR="004F1714" w:rsidTr="00787999">
        <w:tc>
          <w:tcPr>
            <w:tcW w:w="2430" w:type="dxa"/>
          </w:tcPr>
          <w:p w:rsidR="004F1714" w:rsidRDefault="004F1714" w:rsidP="004F1714">
            <w:r>
              <w:t>PH 548</w:t>
            </w:r>
          </w:p>
        </w:tc>
        <w:tc>
          <w:tcPr>
            <w:tcW w:w="1619" w:type="dxa"/>
          </w:tcPr>
          <w:p w:rsidR="004F1714" w:rsidRDefault="004F1714" w:rsidP="00044F26">
            <w:pPr>
              <w:jc w:val="center"/>
            </w:pPr>
          </w:p>
        </w:tc>
        <w:tc>
          <w:tcPr>
            <w:tcW w:w="1441" w:type="dxa"/>
          </w:tcPr>
          <w:p w:rsidR="004F1714" w:rsidRDefault="004F1714" w:rsidP="00044F26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:rsidR="004F1714" w:rsidRDefault="004F1714" w:rsidP="00044F26">
            <w:pPr>
              <w:jc w:val="center"/>
            </w:pPr>
            <w:r>
              <w:t>X</w:t>
            </w:r>
            <w:r>
              <w:t xml:space="preserve"> (E)</w:t>
            </w:r>
          </w:p>
        </w:tc>
      </w:tr>
      <w:tr w:rsidR="004F1714" w:rsidTr="00787999">
        <w:tc>
          <w:tcPr>
            <w:tcW w:w="2430" w:type="dxa"/>
          </w:tcPr>
          <w:p w:rsidR="004F1714" w:rsidRDefault="004F1714" w:rsidP="004F1714">
            <w:r>
              <w:t>COMM 553</w:t>
            </w:r>
          </w:p>
        </w:tc>
        <w:tc>
          <w:tcPr>
            <w:tcW w:w="1619" w:type="dxa"/>
          </w:tcPr>
          <w:p w:rsidR="004F1714" w:rsidRDefault="004F1714" w:rsidP="00044F26">
            <w:pPr>
              <w:jc w:val="center"/>
            </w:pPr>
          </w:p>
        </w:tc>
        <w:tc>
          <w:tcPr>
            <w:tcW w:w="1441" w:type="dxa"/>
          </w:tcPr>
          <w:p w:rsidR="004F1714" w:rsidRDefault="004F1714" w:rsidP="00044F26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:rsidR="004F1714" w:rsidRDefault="004F1714" w:rsidP="00044F26">
            <w:pPr>
              <w:jc w:val="center"/>
            </w:pPr>
            <w:r>
              <w:t>X</w:t>
            </w:r>
            <w:r>
              <w:t xml:space="preserve"> (R)</w:t>
            </w:r>
          </w:p>
        </w:tc>
      </w:tr>
      <w:tr w:rsidR="004F1714" w:rsidTr="00787999">
        <w:tc>
          <w:tcPr>
            <w:tcW w:w="2430" w:type="dxa"/>
          </w:tcPr>
          <w:p w:rsidR="004F1714" w:rsidRDefault="004F1714" w:rsidP="004F1714">
            <w:r>
              <w:t>COMM 523</w:t>
            </w:r>
          </w:p>
        </w:tc>
        <w:tc>
          <w:tcPr>
            <w:tcW w:w="1619" w:type="dxa"/>
          </w:tcPr>
          <w:p w:rsidR="004F1714" w:rsidRDefault="004F1714" w:rsidP="00044F26">
            <w:pPr>
              <w:jc w:val="center"/>
            </w:pPr>
          </w:p>
        </w:tc>
        <w:tc>
          <w:tcPr>
            <w:tcW w:w="1441" w:type="dxa"/>
          </w:tcPr>
          <w:p w:rsidR="004F1714" w:rsidRDefault="004F1714" w:rsidP="00044F26">
            <w:pPr>
              <w:jc w:val="center"/>
            </w:pPr>
          </w:p>
        </w:tc>
        <w:tc>
          <w:tcPr>
            <w:tcW w:w="1710" w:type="dxa"/>
          </w:tcPr>
          <w:p w:rsidR="004F1714" w:rsidRDefault="00787999" w:rsidP="00044F26">
            <w:pPr>
              <w:jc w:val="center"/>
            </w:pPr>
            <w:r w:rsidRPr="00533F4B">
              <w:rPr>
                <w:highlight w:val="yellow"/>
              </w:rPr>
              <w:t>X (R)</w:t>
            </w:r>
          </w:p>
        </w:tc>
      </w:tr>
    </w:tbl>
    <w:p w:rsidR="00A5224D" w:rsidRDefault="00A5224D"/>
    <w:p w:rsidR="00805632" w:rsidRDefault="007140DA">
      <w:r>
        <w:t>Additionally, because t</w:t>
      </w:r>
      <w:r w:rsidR="00044F26">
        <w:t xml:space="preserve">he Communicating in Healthcare certificate currently </w:t>
      </w:r>
      <w:r w:rsidR="000B02F3">
        <w:t>uses several MPH</w:t>
      </w:r>
      <w:r w:rsidR="00805632">
        <w:t xml:space="preserve"> </w:t>
      </w:r>
      <w:r w:rsidR="000B02F3">
        <w:t>courses as electives</w:t>
      </w:r>
      <w:r>
        <w:t xml:space="preserve">, including two that are required in the HE certificate (PH 587 and PH 548), approving COMM 553 as an equivalent </w:t>
      </w:r>
      <w:proofErr w:type="gramStart"/>
      <w:r>
        <w:t>to  PH</w:t>
      </w:r>
      <w:proofErr w:type="gramEnd"/>
      <w:r>
        <w:t xml:space="preserve"> 576 will also allow their students to get both certificates with one additional course ( PH 575), as shown below. 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430"/>
        <w:gridCol w:w="1441"/>
        <w:gridCol w:w="1710"/>
      </w:tblGrid>
      <w:tr w:rsidR="00805632" w:rsidTr="00C331E3">
        <w:tc>
          <w:tcPr>
            <w:tcW w:w="2430" w:type="dxa"/>
          </w:tcPr>
          <w:p w:rsidR="00805632" w:rsidRDefault="00805632" w:rsidP="00C331E3">
            <w:r>
              <w:t>Courses</w:t>
            </w:r>
          </w:p>
        </w:tc>
        <w:tc>
          <w:tcPr>
            <w:tcW w:w="1441" w:type="dxa"/>
          </w:tcPr>
          <w:p w:rsidR="00805632" w:rsidRDefault="00805632" w:rsidP="00C331E3">
            <w:pPr>
              <w:jc w:val="center"/>
            </w:pPr>
            <w:r>
              <w:t>HE Cert</w:t>
            </w:r>
          </w:p>
        </w:tc>
        <w:tc>
          <w:tcPr>
            <w:tcW w:w="1710" w:type="dxa"/>
          </w:tcPr>
          <w:p w:rsidR="00805632" w:rsidRDefault="00805632" w:rsidP="00C331E3">
            <w:pPr>
              <w:jc w:val="center"/>
            </w:pPr>
            <w:r>
              <w:t>COMM Cert</w:t>
            </w:r>
          </w:p>
        </w:tc>
      </w:tr>
      <w:tr w:rsidR="00805632" w:rsidTr="00C331E3">
        <w:tc>
          <w:tcPr>
            <w:tcW w:w="2430" w:type="dxa"/>
          </w:tcPr>
          <w:p w:rsidR="00805632" w:rsidRDefault="00805632" w:rsidP="00C331E3">
            <w:r>
              <w:t>PH 587</w:t>
            </w:r>
          </w:p>
        </w:tc>
        <w:tc>
          <w:tcPr>
            <w:tcW w:w="1441" w:type="dxa"/>
          </w:tcPr>
          <w:p w:rsidR="00805632" w:rsidRDefault="00805632" w:rsidP="00C331E3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:rsidR="00805632" w:rsidRDefault="00805632" w:rsidP="00C331E3">
            <w:pPr>
              <w:jc w:val="center"/>
            </w:pPr>
            <w:r>
              <w:t>X (E)</w:t>
            </w:r>
          </w:p>
        </w:tc>
      </w:tr>
      <w:tr w:rsidR="00805632" w:rsidTr="00C331E3">
        <w:tc>
          <w:tcPr>
            <w:tcW w:w="2430" w:type="dxa"/>
          </w:tcPr>
          <w:p w:rsidR="00805632" w:rsidRDefault="00805632" w:rsidP="00C331E3">
            <w:r>
              <w:t>PH 575</w:t>
            </w:r>
          </w:p>
        </w:tc>
        <w:tc>
          <w:tcPr>
            <w:tcW w:w="1441" w:type="dxa"/>
          </w:tcPr>
          <w:p w:rsidR="00805632" w:rsidRDefault="00805632" w:rsidP="00C331E3">
            <w:pPr>
              <w:jc w:val="center"/>
            </w:pPr>
            <w:r w:rsidRPr="007140DA">
              <w:rPr>
                <w:highlight w:val="yellow"/>
              </w:rPr>
              <w:t>X</w:t>
            </w:r>
          </w:p>
        </w:tc>
        <w:tc>
          <w:tcPr>
            <w:tcW w:w="1710" w:type="dxa"/>
          </w:tcPr>
          <w:p w:rsidR="00805632" w:rsidRDefault="00805632" w:rsidP="00C331E3">
            <w:pPr>
              <w:jc w:val="center"/>
            </w:pPr>
          </w:p>
        </w:tc>
      </w:tr>
      <w:tr w:rsidR="00805632" w:rsidTr="00C331E3">
        <w:tc>
          <w:tcPr>
            <w:tcW w:w="2430" w:type="dxa"/>
          </w:tcPr>
          <w:p w:rsidR="00805632" w:rsidRDefault="00805632" w:rsidP="00C331E3">
            <w:r>
              <w:t>PH 581</w:t>
            </w:r>
          </w:p>
        </w:tc>
        <w:tc>
          <w:tcPr>
            <w:tcW w:w="1441" w:type="dxa"/>
          </w:tcPr>
          <w:p w:rsidR="00805632" w:rsidRDefault="00805632" w:rsidP="00C331E3">
            <w:pPr>
              <w:jc w:val="center"/>
            </w:pPr>
          </w:p>
        </w:tc>
        <w:tc>
          <w:tcPr>
            <w:tcW w:w="1710" w:type="dxa"/>
          </w:tcPr>
          <w:p w:rsidR="00805632" w:rsidRDefault="00805632" w:rsidP="00C331E3">
            <w:pPr>
              <w:jc w:val="center"/>
            </w:pPr>
          </w:p>
        </w:tc>
      </w:tr>
      <w:tr w:rsidR="00805632" w:rsidTr="00C331E3">
        <w:tc>
          <w:tcPr>
            <w:tcW w:w="2430" w:type="dxa"/>
          </w:tcPr>
          <w:p w:rsidR="00805632" w:rsidRDefault="00805632" w:rsidP="00C331E3">
            <w:r>
              <w:t>PH 548</w:t>
            </w:r>
          </w:p>
        </w:tc>
        <w:tc>
          <w:tcPr>
            <w:tcW w:w="1441" w:type="dxa"/>
          </w:tcPr>
          <w:p w:rsidR="00805632" w:rsidRDefault="00805632" w:rsidP="00C331E3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:rsidR="00805632" w:rsidRDefault="00805632" w:rsidP="00C331E3">
            <w:pPr>
              <w:jc w:val="center"/>
            </w:pPr>
            <w:r>
              <w:t>X (E)</w:t>
            </w:r>
          </w:p>
        </w:tc>
      </w:tr>
      <w:tr w:rsidR="00805632" w:rsidTr="00C331E3">
        <w:tc>
          <w:tcPr>
            <w:tcW w:w="2430" w:type="dxa"/>
          </w:tcPr>
          <w:p w:rsidR="00805632" w:rsidRDefault="00805632" w:rsidP="00C331E3">
            <w:r>
              <w:t>COMM 553</w:t>
            </w:r>
          </w:p>
        </w:tc>
        <w:tc>
          <w:tcPr>
            <w:tcW w:w="1441" w:type="dxa"/>
          </w:tcPr>
          <w:p w:rsidR="00805632" w:rsidRDefault="00805632" w:rsidP="00C331E3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:rsidR="00805632" w:rsidRDefault="00805632" w:rsidP="00C331E3">
            <w:pPr>
              <w:jc w:val="center"/>
            </w:pPr>
            <w:r>
              <w:t>X (R)</w:t>
            </w:r>
          </w:p>
        </w:tc>
      </w:tr>
      <w:tr w:rsidR="00805632" w:rsidTr="00C331E3">
        <w:tc>
          <w:tcPr>
            <w:tcW w:w="2430" w:type="dxa"/>
          </w:tcPr>
          <w:p w:rsidR="00805632" w:rsidRDefault="00805632" w:rsidP="00C331E3">
            <w:r>
              <w:t>COMM 523</w:t>
            </w:r>
          </w:p>
        </w:tc>
        <w:tc>
          <w:tcPr>
            <w:tcW w:w="1441" w:type="dxa"/>
          </w:tcPr>
          <w:p w:rsidR="00805632" w:rsidRDefault="00805632" w:rsidP="00C331E3">
            <w:pPr>
              <w:jc w:val="center"/>
            </w:pPr>
          </w:p>
        </w:tc>
        <w:tc>
          <w:tcPr>
            <w:tcW w:w="1710" w:type="dxa"/>
          </w:tcPr>
          <w:p w:rsidR="00805632" w:rsidRDefault="00805632" w:rsidP="00C331E3">
            <w:pPr>
              <w:jc w:val="center"/>
            </w:pPr>
            <w:r w:rsidRPr="00805632">
              <w:t>X (R)</w:t>
            </w:r>
          </w:p>
        </w:tc>
      </w:tr>
    </w:tbl>
    <w:p w:rsidR="008319CE" w:rsidRDefault="008319CE"/>
    <w:p w:rsidR="00FB52CF" w:rsidRDefault="00444195" w:rsidP="007140DA">
      <w:r>
        <w:t xml:space="preserve">This inter-program collaboration is in keeping with CEPH’s call for inter-professional education. </w:t>
      </w:r>
      <w:bookmarkStart w:id="0" w:name="_GoBack"/>
      <w:bookmarkEnd w:id="0"/>
    </w:p>
    <w:p w:rsidR="007140DA" w:rsidRDefault="007140DA" w:rsidP="007140DA">
      <w:r>
        <w:t>.</w:t>
      </w:r>
    </w:p>
    <w:p w:rsidR="007140DA" w:rsidRDefault="007140DA"/>
    <w:sectPr w:rsidR="00714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CE"/>
    <w:rsid w:val="00044F26"/>
    <w:rsid w:val="000B02F3"/>
    <w:rsid w:val="0043737A"/>
    <w:rsid w:val="00444195"/>
    <w:rsid w:val="004F1714"/>
    <w:rsid w:val="00533F4B"/>
    <w:rsid w:val="005C65ED"/>
    <w:rsid w:val="005F07F1"/>
    <w:rsid w:val="0067664A"/>
    <w:rsid w:val="007140DA"/>
    <w:rsid w:val="00787999"/>
    <w:rsid w:val="00805632"/>
    <w:rsid w:val="008319CE"/>
    <w:rsid w:val="00A22B09"/>
    <w:rsid w:val="00A5224D"/>
    <w:rsid w:val="00AD6E8B"/>
    <w:rsid w:val="00AE5546"/>
    <w:rsid w:val="00E06813"/>
    <w:rsid w:val="00FB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CB9B"/>
  <w15:chartTrackingRefBased/>
  <w15:docId w15:val="{EF4A5C04-F8D3-4C9A-8B8E-802B6041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E8B"/>
    <w:pPr>
      <w:keepNext/>
      <w:keepLines/>
      <w:spacing w:before="400" w:after="120" w:line="276" w:lineRule="auto"/>
      <w:contextualSpacing/>
      <w:jc w:val="center"/>
      <w:outlineLvl w:val="0"/>
    </w:pPr>
    <w:rPr>
      <w:rFonts w:ascii="Calibri" w:eastAsia="Arial" w:hAnsi="Calibri" w:cs="Arial"/>
      <w:b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E8B"/>
    <w:pPr>
      <w:keepNext/>
      <w:keepLines/>
      <w:spacing w:before="360" w:after="120" w:line="276" w:lineRule="auto"/>
      <w:contextualSpacing/>
      <w:outlineLvl w:val="1"/>
    </w:pPr>
    <w:rPr>
      <w:rFonts w:ascii="Calibri" w:eastAsia="Arial" w:hAnsi="Calibri" w:cs="Arial"/>
      <w:b/>
      <w:sz w:val="24"/>
      <w:szCs w:val="32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6813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43737A"/>
    <w:pPr>
      <w:spacing w:after="200" w:line="240" w:lineRule="auto"/>
      <w:jc w:val="center"/>
    </w:pPr>
    <w:rPr>
      <w:sz w:val="28"/>
    </w:rPr>
  </w:style>
  <w:style w:type="character" w:customStyle="1" w:styleId="Style1Char">
    <w:name w:val="Style1 Char"/>
    <w:basedOn w:val="DefaultParagraphFont"/>
    <w:link w:val="Style1"/>
    <w:rsid w:val="0043737A"/>
    <w:rPr>
      <w:sz w:val="28"/>
    </w:rPr>
  </w:style>
  <w:style w:type="paragraph" w:customStyle="1" w:styleId="Style2">
    <w:name w:val="Style2"/>
    <w:basedOn w:val="Heading2"/>
    <w:link w:val="Style2Char"/>
    <w:autoRedefine/>
    <w:qFormat/>
    <w:rsid w:val="0043737A"/>
    <w:rPr>
      <w:rFonts w:asciiTheme="minorHAnsi" w:eastAsiaTheme="minorHAnsi" w:hAnsiTheme="minorHAnsi" w:cstheme="minorBidi"/>
      <w:b w:val="0"/>
    </w:rPr>
  </w:style>
  <w:style w:type="character" w:customStyle="1" w:styleId="Style2Char">
    <w:name w:val="Style2 Char"/>
    <w:basedOn w:val="Heading2Char"/>
    <w:link w:val="Style2"/>
    <w:rsid w:val="0043737A"/>
    <w:rPr>
      <w:rFonts w:asciiTheme="majorHAnsi" w:eastAsiaTheme="majorEastAsia" w:hAnsiTheme="majorHAnsi" w:cstheme="majorBidi"/>
      <w:b w:val="0"/>
      <w:color w:val="2E74B5" w:themeColor="accent1" w:themeShade="BF"/>
      <w:sz w:val="24"/>
      <w:szCs w:val="36"/>
      <w:u w:val="single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AD6E8B"/>
    <w:rPr>
      <w:rFonts w:ascii="Calibri" w:eastAsia="Arial" w:hAnsi="Calibri" w:cs="Arial"/>
      <w:b/>
      <w:sz w:val="24"/>
      <w:szCs w:val="32"/>
      <w:u w:val="single"/>
      <w:lang w:val="en"/>
    </w:rPr>
  </w:style>
  <w:style w:type="paragraph" w:customStyle="1" w:styleId="Style3">
    <w:name w:val="Style3"/>
    <w:basedOn w:val="Heading3"/>
    <w:link w:val="Style3Char"/>
    <w:autoRedefine/>
    <w:qFormat/>
    <w:rsid w:val="0043737A"/>
    <w:rPr>
      <w:rFonts w:asciiTheme="minorHAnsi" w:eastAsiaTheme="minorHAnsi" w:hAnsiTheme="minorHAnsi" w:cstheme="minorBidi"/>
    </w:rPr>
  </w:style>
  <w:style w:type="character" w:customStyle="1" w:styleId="Style3Char">
    <w:name w:val="Style3 Char"/>
    <w:basedOn w:val="Heading3Char"/>
    <w:link w:val="Style3"/>
    <w:rsid w:val="0043737A"/>
    <w:rPr>
      <w:rFonts w:asciiTheme="majorHAnsi" w:eastAsiaTheme="majorEastAsia" w:hAnsiTheme="majorHAnsi" w:cstheme="majorBidi"/>
      <w:b w:val="0"/>
      <w:color w:val="1F4D78" w:themeColor="accent1" w:themeShade="7F"/>
      <w:sz w:val="24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E06813"/>
    <w:rPr>
      <w:rFonts w:ascii="Calibri" w:eastAsia="Calibri" w:hAnsi="Calibri" w:cs="Calibri"/>
      <w:sz w:val="24"/>
      <w:szCs w:val="28"/>
    </w:rPr>
  </w:style>
  <w:style w:type="paragraph" w:customStyle="1" w:styleId="chaptertitle">
    <w:name w:val="chapter title"/>
    <w:basedOn w:val="Title"/>
    <w:link w:val="chaptertitleChar"/>
    <w:qFormat/>
    <w:rsid w:val="0067664A"/>
    <w:pPr>
      <w:keepNext/>
      <w:keepLines/>
      <w:contextualSpacing w:val="0"/>
      <w:jc w:val="center"/>
    </w:pPr>
    <w:rPr>
      <w:rFonts w:asciiTheme="minorHAnsi" w:eastAsiaTheme="minorHAnsi" w:hAnsiTheme="minorHAnsi" w:cstheme="minorBidi"/>
      <w:spacing w:val="0"/>
      <w:kern w:val="0"/>
      <w:sz w:val="32"/>
      <w:szCs w:val="72"/>
    </w:rPr>
  </w:style>
  <w:style w:type="character" w:customStyle="1" w:styleId="chaptertitleChar">
    <w:name w:val="chapter title Char"/>
    <w:basedOn w:val="TitleChar"/>
    <w:link w:val="chaptertitle"/>
    <w:rsid w:val="0067664A"/>
    <w:rPr>
      <w:rFonts w:asciiTheme="majorHAnsi" w:eastAsiaTheme="majorEastAsia" w:hAnsiTheme="majorHAnsi" w:cstheme="majorBidi"/>
      <w:spacing w:val="-10"/>
      <w:kern w:val="28"/>
      <w:sz w:val="3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676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6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E8B"/>
    <w:rPr>
      <w:rFonts w:ascii="Calibri" w:eastAsia="Arial" w:hAnsi="Calibri" w:cs="Arial"/>
      <w:b/>
      <w:sz w:val="32"/>
      <w:szCs w:val="40"/>
      <w:lang w:val="en"/>
    </w:rPr>
  </w:style>
  <w:style w:type="table" w:styleId="TableGrid">
    <w:name w:val="Table Grid"/>
    <w:basedOn w:val="TableNormal"/>
    <w:uiPriority w:val="39"/>
    <w:rsid w:val="00A5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1</cp:revision>
  <dcterms:created xsi:type="dcterms:W3CDTF">2019-11-09T12:56:00Z</dcterms:created>
  <dcterms:modified xsi:type="dcterms:W3CDTF">2019-11-09T13:59:00Z</dcterms:modified>
</cp:coreProperties>
</file>