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6A" w:rsidRPr="00A34A18" w:rsidRDefault="003F266A" w:rsidP="003F266A">
      <w:pPr>
        <w:jc w:val="center"/>
        <w:rPr>
          <w:b/>
          <w:sz w:val="36"/>
        </w:rPr>
      </w:pPr>
      <w:smartTag w:uri="urn:schemas-microsoft-com:office:smarttags" w:element="place">
        <w:smartTag w:uri="urn:schemas-microsoft-com:office:smarttags" w:element="PlaceType">
          <w:r w:rsidRPr="00A34A18">
            <w:rPr>
              <w:b/>
              <w:sz w:val="36"/>
            </w:rPr>
            <w:t>College</w:t>
          </w:r>
        </w:smartTag>
        <w:r w:rsidRPr="00A34A18">
          <w:rPr>
            <w:b/>
            <w:sz w:val="36"/>
          </w:rPr>
          <w:t xml:space="preserve"> </w:t>
        </w:r>
        <w:smartTag w:uri="urn:schemas-microsoft-com:office:smarttags" w:element="PlaceType">
          <w:r w:rsidRPr="00A34A18">
            <w:rPr>
              <w:b/>
              <w:sz w:val="36"/>
            </w:rPr>
            <w:t>Heights</w:t>
          </w:r>
        </w:smartTag>
      </w:smartTag>
      <w:r w:rsidRPr="00A34A18">
        <w:rPr>
          <w:b/>
          <w:sz w:val="36"/>
        </w:rPr>
        <w:t xml:space="preserve"> Foundation</w:t>
      </w:r>
      <w:r w:rsidRPr="00A34A18">
        <w:rPr>
          <w:b/>
          <w:sz w:val="36"/>
        </w:rPr>
        <w:br/>
        <w:t>Investment Policy</w:t>
      </w:r>
    </w:p>
    <w:p w:rsidR="003F266A" w:rsidRPr="00A34A18" w:rsidRDefault="0042359B" w:rsidP="003F266A">
      <w:pPr>
        <w:jc w:val="center"/>
        <w:rPr>
          <w:sz w:val="24"/>
          <w:szCs w:val="24"/>
        </w:rPr>
      </w:pPr>
      <w:r>
        <w:rPr>
          <w:sz w:val="24"/>
          <w:szCs w:val="24"/>
        </w:rPr>
        <w:t>May</w:t>
      </w:r>
      <w:r w:rsidR="00450E28" w:rsidRPr="00A34A18">
        <w:rPr>
          <w:sz w:val="24"/>
          <w:szCs w:val="24"/>
        </w:rPr>
        <w:t xml:space="preserve"> 201</w:t>
      </w:r>
      <w:r w:rsidR="00305904">
        <w:rPr>
          <w:sz w:val="24"/>
          <w:szCs w:val="24"/>
        </w:rPr>
        <w:t>7</w:t>
      </w:r>
    </w:p>
    <w:p w:rsidR="003F266A" w:rsidRPr="00A34A18" w:rsidRDefault="003F266A" w:rsidP="003F266A">
      <w:pPr>
        <w:jc w:val="center"/>
        <w:rPr>
          <w:sz w:val="24"/>
        </w:rPr>
      </w:pPr>
    </w:p>
    <w:p w:rsidR="003F266A" w:rsidRPr="00A34A18" w:rsidRDefault="000B15B2" w:rsidP="003F266A">
      <w:pPr>
        <w:rPr>
          <w:b/>
          <w:sz w:val="24"/>
          <w:u w:val="single"/>
        </w:rPr>
      </w:pPr>
      <w:r>
        <w:rPr>
          <w:b/>
          <w:sz w:val="24"/>
          <w:u w:val="single"/>
        </w:rPr>
        <w:t>PU</w:t>
      </w:r>
      <w:r w:rsidR="00450E28" w:rsidRPr="00A34A18">
        <w:rPr>
          <w:b/>
          <w:sz w:val="24"/>
          <w:u w:val="single"/>
        </w:rPr>
        <w:t>R</w:t>
      </w:r>
      <w:r>
        <w:rPr>
          <w:b/>
          <w:sz w:val="24"/>
          <w:u w:val="single"/>
        </w:rPr>
        <w:t>P</w:t>
      </w:r>
      <w:r w:rsidR="00450E28" w:rsidRPr="00A34A18">
        <w:rPr>
          <w:b/>
          <w:sz w:val="24"/>
          <w:u w:val="single"/>
        </w:rPr>
        <w:t xml:space="preserve">OSE </w:t>
      </w:r>
    </w:p>
    <w:p w:rsidR="00450E28" w:rsidRPr="00A34A18" w:rsidRDefault="00450E28" w:rsidP="003F266A">
      <w:pPr>
        <w:rPr>
          <w:b/>
          <w:sz w:val="24"/>
          <w:u w:val="single"/>
        </w:rPr>
      </w:pPr>
    </w:p>
    <w:p w:rsidR="003F266A" w:rsidRPr="00A34A18" w:rsidRDefault="003F266A" w:rsidP="003F266A">
      <w:pPr>
        <w:rPr>
          <w:sz w:val="24"/>
        </w:rPr>
      </w:pPr>
      <w:r w:rsidRPr="00A34A18">
        <w:rPr>
          <w:sz w:val="24"/>
        </w:rPr>
        <w:t xml:space="preserve">The purpose of this document is to define the investment policy for the </w:t>
      </w:r>
      <w:r w:rsidR="004D7FE5" w:rsidRPr="00A34A18">
        <w:rPr>
          <w:sz w:val="24"/>
        </w:rPr>
        <w:t>Endowment Funds of the College Heights Foundation</w:t>
      </w:r>
      <w:r w:rsidR="00642D68" w:rsidRPr="00A34A18">
        <w:rPr>
          <w:sz w:val="24"/>
        </w:rPr>
        <w:t xml:space="preserve"> (Foundation)</w:t>
      </w:r>
      <w:r w:rsidR="00EF3833" w:rsidRPr="00A34A18">
        <w:rPr>
          <w:sz w:val="24"/>
        </w:rPr>
        <w:t xml:space="preserve">.  As such, this will serve as the baseline policy for </w:t>
      </w:r>
      <w:r w:rsidR="001703FC" w:rsidRPr="00A34A18">
        <w:rPr>
          <w:sz w:val="24"/>
        </w:rPr>
        <w:t xml:space="preserve">most (but not all of) </w:t>
      </w:r>
      <w:r w:rsidR="00EF3833" w:rsidRPr="00A34A18">
        <w:rPr>
          <w:sz w:val="24"/>
        </w:rPr>
        <w:t>the Foundation’s various types of Endowment assets</w:t>
      </w:r>
      <w:r w:rsidR="00C220F3" w:rsidRPr="00A34A18">
        <w:rPr>
          <w:sz w:val="24"/>
        </w:rPr>
        <w:t xml:space="preserve">. </w:t>
      </w:r>
      <w:r w:rsidR="00EF3833" w:rsidRPr="00A34A18">
        <w:rPr>
          <w:sz w:val="24"/>
        </w:rPr>
        <w:t xml:space="preserve"> </w:t>
      </w:r>
      <w:r w:rsidRPr="00A34A18">
        <w:rPr>
          <w:sz w:val="24"/>
        </w:rPr>
        <w:t>It will identify a set of investment objectives, guidelines and performance standards.  The objectives have been created in response to:</w:t>
      </w:r>
    </w:p>
    <w:p w:rsidR="003F266A" w:rsidRPr="00A34A18" w:rsidRDefault="003F266A" w:rsidP="003F266A">
      <w:pPr>
        <w:rPr>
          <w:sz w:val="24"/>
        </w:rPr>
      </w:pPr>
    </w:p>
    <w:p w:rsidR="003F266A" w:rsidRPr="00A34A18" w:rsidRDefault="003F266A" w:rsidP="003F266A">
      <w:pPr>
        <w:numPr>
          <w:ilvl w:val="0"/>
          <w:numId w:val="1"/>
        </w:numPr>
        <w:rPr>
          <w:sz w:val="24"/>
        </w:rPr>
      </w:pPr>
      <w:r w:rsidRPr="00A34A18">
        <w:rPr>
          <w:sz w:val="24"/>
        </w:rPr>
        <w:t>the anticipated financial needs of the organization</w:t>
      </w:r>
    </w:p>
    <w:p w:rsidR="003F266A" w:rsidRPr="00A34A18" w:rsidRDefault="003F266A" w:rsidP="003F266A">
      <w:pPr>
        <w:numPr>
          <w:ilvl w:val="0"/>
          <w:numId w:val="1"/>
        </w:numPr>
        <w:rPr>
          <w:sz w:val="24"/>
        </w:rPr>
      </w:pPr>
      <w:r w:rsidRPr="00A34A18">
        <w:rPr>
          <w:sz w:val="24"/>
        </w:rPr>
        <w:t>the organization’s risk tolerance; and</w:t>
      </w:r>
    </w:p>
    <w:p w:rsidR="003F266A" w:rsidRPr="00A34A18" w:rsidRDefault="003F266A" w:rsidP="003F266A">
      <w:pPr>
        <w:numPr>
          <w:ilvl w:val="0"/>
          <w:numId w:val="1"/>
        </w:numPr>
        <w:rPr>
          <w:sz w:val="24"/>
        </w:rPr>
      </w:pPr>
      <w:r w:rsidRPr="00A34A18">
        <w:rPr>
          <w:sz w:val="24"/>
        </w:rPr>
        <w:t>the need to document and communicate objectives, guidelines, and performance standards to the investment managers</w:t>
      </w:r>
    </w:p>
    <w:p w:rsidR="003F266A" w:rsidRPr="00A34A18" w:rsidRDefault="003F266A" w:rsidP="003F266A">
      <w:pPr>
        <w:numPr>
          <w:ilvl w:val="12"/>
          <w:numId w:val="0"/>
        </w:numPr>
        <w:ind w:left="360" w:hanging="360"/>
        <w:rPr>
          <w:sz w:val="24"/>
        </w:rPr>
      </w:pPr>
    </w:p>
    <w:p w:rsidR="003F266A" w:rsidRPr="00A34A18" w:rsidRDefault="003F266A" w:rsidP="003F266A">
      <w:pPr>
        <w:rPr>
          <w:sz w:val="24"/>
        </w:rPr>
      </w:pPr>
      <w:r w:rsidRPr="00A34A18">
        <w:rPr>
          <w:sz w:val="24"/>
        </w:rPr>
        <w:t>This policy is to be communicated to any investment consultant or managers for their use in developing an appropriate program and to the Board of Directors for their use in exercising fiduciary responsibility.  This document will also be used as the basis for investment performance measurement and evaluation.  This policy will be reviewed by the Executive Committee on an annual basis.</w:t>
      </w:r>
    </w:p>
    <w:p w:rsidR="00450E28" w:rsidRPr="00A34A18" w:rsidRDefault="00450E28" w:rsidP="00450E28">
      <w:pPr>
        <w:ind w:right="-720"/>
        <w:rPr>
          <w:sz w:val="24"/>
        </w:rPr>
      </w:pPr>
    </w:p>
    <w:p w:rsidR="00EF3833" w:rsidRPr="00A34A18" w:rsidRDefault="00EF3833" w:rsidP="00450E28">
      <w:pPr>
        <w:ind w:right="-720"/>
        <w:rPr>
          <w:b/>
          <w:sz w:val="24"/>
          <w:u w:val="single"/>
        </w:rPr>
      </w:pPr>
      <w:r w:rsidRPr="00A34A18">
        <w:rPr>
          <w:b/>
          <w:sz w:val="24"/>
          <w:u w:val="single"/>
        </w:rPr>
        <w:t>T</w:t>
      </w:r>
      <w:r w:rsidR="00450E28" w:rsidRPr="00A34A18">
        <w:rPr>
          <w:b/>
          <w:sz w:val="24"/>
          <w:u w:val="single"/>
        </w:rPr>
        <w:t>IME HORIZON</w:t>
      </w:r>
    </w:p>
    <w:p w:rsidR="00450E28" w:rsidRPr="00A34A18" w:rsidRDefault="00450E28" w:rsidP="00EF3833">
      <w:pPr>
        <w:ind w:right="-720"/>
        <w:rPr>
          <w:sz w:val="24"/>
        </w:rPr>
      </w:pPr>
    </w:p>
    <w:p w:rsidR="00EF3833" w:rsidRPr="00A34A18" w:rsidRDefault="00EF3833" w:rsidP="00EF3833">
      <w:pPr>
        <w:ind w:right="-720"/>
        <w:rPr>
          <w:sz w:val="24"/>
        </w:rPr>
      </w:pPr>
      <w:r w:rsidRPr="00A34A18">
        <w:rPr>
          <w:sz w:val="24"/>
        </w:rPr>
        <w:t xml:space="preserve">The Foundation recognizes that as a perpetual entity, the framework of its investment decisions should be centered </w:t>
      </w:r>
      <w:r w:rsidR="00FE05D9" w:rsidRPr="00A34A18">
        <w:rPr>
          <w:sz w:val="24"/>
        </w:rPr>
        <w:t xml:space="preserve">upon </w:t>
      </w:r>
      <w:r w:rsidRPr="00A34A18">
        <w:rPr>
          <w:sz w:val="24"/>
        </w:rPr>
        <w:t>long term</w:t>
      </w:r>
      <w:r w:rsidR="00FE05D9" w:rsidRPr="00A34A18">
        <w:rPr>
          <w:sz w:val="24"/>
        </w:rPr>
        <w:t xml:space="preserve"> (5-10 year plus)</w:t>
      </w:r>
      <w:r w:rsidRPr="00A34A18">
        <w:rPr>
          <w:sz w:val="24"/>
        </w:rPr>
        <w:t xml:space="preserve"> market cycles as well as long term manager and asset class returns. While the context of the current economic climate will no doubt be reflected in the Board’s willingness to take on varying levels of investment risk, the overriding principles of the investment policy, along with the asset class guidelines herein established should not be altered due to short term market fluctuations or economic disruptions.    </w:t>
      </w:r>
    </w:p>
    <w:p w:rsidR="00EF3833" w:rsidRPr="00A34A18" w:rsidRDefault="00EF3833" w:rsidP="003F266A">
      <w:pPr>
        <w:ind w:right="-720"/>
        <w:rPr>
          <w:sz w:val="24"/>
        </w:rPr>
      </w:pPr>
    </w:p>
    <w:p w:rsidR="00EF3833" w:rsidRPr="00A34A18" w:rsidRDefault="00FE05D9" w:rsidP="00450E28">
      <w:pPr>
        <w:rPr>
          <w:b/>
          <w:sz w:val="24"/>
          <w:u w:val="single"/>
        </w:rPr>
      </w:pPr>
      <w:r w:rsidRPr="00A34A18">
        <w:rPr>
          <w:b/>
          <w:sz w:val="24"/>
          <w:u w:val="single"/>
        </w:rPr>
        <w:t>P</w:t>
      </w:r>
      <w:r w:rsidR="00450E28" w:rsidRPr="00A34A18">
        <w:rPr>
          <w:b/>
          <w:sz w:val="24"/>
          <w:u w:val="single"/>
        </w:rPr>
        <w:t>HILOSOP</w:t>
      </w:r>
      <w:r w:rsidR="00197BB4" w:rsidRPr="00A34A18">
        <w:rPr>
          <w:b/>
          <w:sz w:val="24"/>
          <w:u w:val="single"/>
        </w:rPr>
        <w:t>H</w:t>
      </w:r>
      <w:r w:rsidR="00450E28" w:rsidRPr="00A34A18">
        <w:rPr>
          <w:b/>
          <w:sz w:val="24"/>
          <w:u w:val="single"/>
        </w:rPr>
        <w:t>Y</w:t>
      </w:r>
    </w:p>
    <w:p w:rsidR="00450E28" w:rsidRPr="00A34A18" w:rsidRDefault="00450E28" w:rsidP="00450E28">
      <w:pPr>
        <w:rPr>
          <w:b/>
          <w:sz w:val="24"/>
          <w:u w:val="single"/>
        </w:rPr>
      </w:pPr>
    </w:p>
    <w:p w:rsidR="00FE05D9" w:rsidRPr="00A34A18" w:rsidRDefault="00FE05D9" w:rsidP="00FE05D9">
      <w:pPr>
        <w:rPr>
          <w:sz w:val="24"/>
        </w:rPr>
      </w:pPr>
      <w:r w:rsidRPr="00A34A18">
        <w:rPr>
          <w:sz w:val="24"/>
        </w:rPr>
        <w:t xml:space="preserve">The Foundation understands that prudent risk taking is necessary in order to achieve its overall objectives.  Acknowledging that there is a direct correlation between the relationships of risk/return under Modern Portfolio Theory, the Foundation does not seek to eliminate risk but to effectively manage it.  </w:t>
      </w:r>
      <w:r w:rsidR="00395E06" w:rsidRPr="00A34A18">
        <w:rPr>
          <w:sz w:val="24"/>
        </w:rPr>
        <w:t xml:space="preserve">The level of risk taken should be in proportion to the Foundation’s overall investment objectives and will principally be governed by the overall asset class allocations and parameters established. </w:t>
      </w:r>
      <w:r w:rsidRPr="00A34A18">
        <w:rPr>
          <w:sz w:val="24"/>
        </w:rPr>
        <w:t xml:space="preserve">    </w:t>
      </w:r>
    </w:p>
    <w:p w:rsidR="00B14B78" w:rsidRPr="00A34A18" w:rsidRDefault="00B14B78" w:rsidP="00FE05D9">
      <w:pPr>
        <w:rPr>
          <w:sz w:val="24"/>
        </w:rPr>
      </w:pPr>
    </w:p>
    <w:p w:rsidR="00B14B78" w:rsidRPr="00A34A18" w:rsidRDefault="001703FC" w:rsidP="00FE05D9">
      <w:pPr>
        <w:rPr>
          <w:sz w:val="24"/>
        </w:rPr>
      </w:pPr>
      <w:r w:rsidRPr="00A34A18">
        <w:rPr>
          <w:sz w:val="24"/>
        </w:rPr>
        <w:t>T</w:t>
      </w:r>
      <w:r w:rsidR="00B14B78" w:rsidRPr="00A34A18">
        <w:rPr>
          <w:sz w:val="24"/>
        </w:rPr>
        <w:t>he Board</w:t>
      </w:r>
      <w:r w:rsidR="00642D68" w:rsidRPr="00A34A18">
        <w:rPr>
          <w:sz w:val="24"/>
        </w:rPr>
        <w:t xml:space="preserve"> of Directors</w:t>
      </w:r>
      <w:r w:rsidR="00B14B78" w:rsidRPr="00A34A18">
        <w:rPr>
          <w:sz w:val="24"/>
        </w:rPr>
        <w:t xml:space="preserve"> believes that the long term nature of the Foundation necessitates investing a majority of the Foundation’s assets in equity or real assets, or those assets with “equity like” characteristics which over time have shown a greater propensity to achieve returns in excess of inflation.  The Board</w:t>
      </w:r>
      <w:r w:rsidR="00642D68" w:rsidRPr="00A34A18">
        <w:rPr>
          <w:sz w:val="24"/>
        </w:rPr>
        <w:t xml:space="preserve"> of Directors </w:t>
      </w:r>
      <w:r w:rsidR="00B14B78" w:rsidRPr="00A34A18">
        <w:rPr>
          <w:sz w:val="24"/>
        </w:rPr>
        <w:t xml:space="preserve">believes that the trade-off of higher anticipated returns </w:t>
      </w:r>
      <w:r w:rsidRPr="00A34A18">
        <w:rPr>
          <w:sz w:val="24"/>
        </w:rPr>
        <w:t>in these asset class</w:t>
      </w:r>
      <w:r w:rsidR="00A83FC4" w:rsidRPr="00A34A18">
        <w:rPr>
          <w:sz w:val="24"/>
        </w:rPr>
        <w:t>es</w:t>
      </w:r>
      <w:r w:rsidRPr="00A34A18">
        <w:rPr>
          <w:sz w:val="24"/>
        </w:rPr>
        <w:t xml:space="preserve"> </w:t>
      </w:r>
      <w:r w:rsidR="00B14B78" w:rsidRPr="00A34A18">
        <w:rPr>
          <w:sz w:val="24"/>
        </w:rPr>
        <w:t xml:space="preserve">outweighs their shorter-term volatility risk. </w:t>
      </w:r>
    </w:p>
    <w:p w:rsidR="00EF3833" w:rsidRPr="00A34A18" w:rsidRDefault="00EF3833" w:rsidP="003F266A">
      <w:pPr>
        <w:jc w:val="center"/>
        <w:rPr>
          <w:b/>
          <w:i/>
          <w:sz w:val="24"/>
        </w:rPr>
      </w:pPr>
    </w:p>
    <w:p w:rsidR="00B14B78" w:rsidRPr="00A34A18" w:rsidRDefault="00B14B78" w:rsidP="003F266A">
      <w:pPr>
        <w:jc w:val="center"/>
        <w:rPr>
          <w:b/>
          <w:i/>
          <w:sz w:val="24"/>
        </w:rPr>
      </w:pPr>
    </w:p>
    <w:p w:rsidR="00B14B78" w:rsidRPr="00A34A18" w:rsidRDefault="00B14B78" w:rsidP="003F266A">
      <w:pPr>
        <w:jc w:val="center"/>
        <w:rPr>
          <w:b/>
          <w:sz w:val="24"/>
          <w:u w:val="single"/>
        </w:rPr>
      </w:pPr>
      <w:bookmarkStart w:id="0" w:name="_GoBack"/>
      <w:bookmarkEnd w:id="0"/>
    </w:p>
    <w:p w:rsidR="003F266A" w:rsidRPr="00A34A18" w:rsidRDefault="003F266A" w:rsidP="00450E28">
      <w:pPr>
        <w:rPr>
          <w:b/>
          <w:sz w:val="24"/>
          <w:u w:val="single"/>
        </w:rPr>
      </w:pPr>
      <w:r w:rsidRPr="00A34A18">
        <w:rPr>
          <w:b/>
          <w:sz w:val="24"/>
          <w:u w:val="single"/>
        </w:rPr>
        <w:t>I</w:t>
      </w:r>
      <w:r w:rsidR="00450E28" w:rsidRPr="00A34A18">
        <w:rPr>
          <w:b/>
          <w:sz w:val="24"/>
          <w:u w:val="single"/>
        </w:rPr>
        <w:t>NVESTMENT OBJECTIVE</w:t>
      </w:r>
    </w:p>
    <w:p w:rsidR="00395E06" w:rsidRPr="00A34A18" w:rsidRDefault="00395E06" w:rsidP="00395E06">
      <w:pPr>
        <w:rPr>
          <w:sz w:val="24"/>
        </w:rPr>
      </w:pPr>
    </w:p>
    <w:p w:rsidR="00395E06" w:rsidRPr="00A34A18" w:rsidRDefault="00395E06" w:rsidP="00395E06">
      <w:pPr>
        <w:rPr>
          <w:sz w:val="24"/>
        </w:rPr>
      </w:pPr>
      <w:r w:rsidRPr="00A34A18">
        <w:rPr>
          <w:sz w:val="24"/>
        </w:rPr>
        <w:t xml:space="preserve">The overall objective of the Foundation is to maintain the purchasing power of the </w:t>
      </w:r>
      <w:r w:rsidR="00A12CB1" w:rsidRPr="00A34A18">
        <w:rPr>
          <w:sz w:val="24"/>
        </w:rPr>
        <w:t xml:space="preserve">current and </w:t>
      </w:r>
      <w:r w:rsidRPr="00A34A18">
        <w:rPr>
          <w:sz w:val="24"/>
        </w:rPr>
        <w:t>future income demands upon the endowment payout.  The Board</w:t>
      </w:r>
      <w:r w:rsidR="00642D68" w:rsidRPr="00A34A18">
        <w:rPr>
          <w:sz w:val="24"/>
        </w:rPr>
        <w:t xml:space="preserve"> of Directors </w:t>
      </w:r>
      <w:r w:rsidRPr="00A34A18">
        <w:rPr>
          <w:sz w:val="24"/>
        </w:rPr>
        <w:t>recognizes that the only way this can occur over future years is through 1) increased contributions, 2) reduced demands or 3) growth of the underlying principal.  As the first two causes are b</w:t>
      </w:r>
      <w:r w:rsidR="00A12CB1" w:rsidRPr="00A34A18">
        <w:rPr>
          <w:sz w:val="24"/>
        </w:rPr>
        <w:t xml:space="preserve">eyond the control of this Policy Statement, the secondary goal shall be to grow the portfolio consistent with a prudent level of risk.  </w:t>
      </w:r>
    </w:p>
    <w:p w:rsidR="00B14B78" w:rsidRPr="00A34A18" w:rsidRDefault="00B14B78" w:rsidP="00395E06">
      <w:pPr>
        <w:rPr>
          <w:sz w:val="24"/>
        </w:rPr>
      </w:pPr>
    </w:p>
    <w:p w:rsidR="003F266A" w:rsidRPr="00A34A18" w:rsidRDefault="003F266A" w:rsidP="003F266A">
      <w:pPr>
        <w:rPr>
          <w:sz w:val="24"/>
        </w:rPr>
      </w:pPr>
      <w:r w:rsidRPr="00A34A18">
        <w:rPr>
          <w:sz w:val="24"/>
        </w:rPr>
        <w:t xml:space="preserve">The </w:t>
      </w:r>
      <w:r w:rsidR="00A12CB1" w:rsidRPr="00A34A18">
        <w:rPr>
          <w:sz w:val="24"/>
        </w:rPr>
        <w:t xml:space="preserve">primary </w:t>
      </w:r>
      <w:r w:rsidRPr="00A34A18">
        <w:rPr>
          <w:sz w:val="24"/>
        </w:rPr>
        <w:t xml:space="preserve">investment objective, as established by the Executive Committee and approved by the Board of Directors, is to earn an average </w:t>
      </w:r>
      <w:r w:rsidR="00B14B78" w:rsidRPr="00A34A18">
        <w:rPr>
          <w:sz w:val="24"/>
        </w:rPr>
        <w:t>annual return of 4.5</w:t>
      </w:r>
      <w:r w:rsidRPr="00A34A18">
        <w:rPr>
          <w:sz w:val="24"/>
        </w:rPr>
        <w:t>%</w:t>
      </w:r>
      <w:r w:rsidR="00B14B78" w:rsidRPr="00A34A18">
        <w:rPr>
          <w:sz w:val="24"/>
        </w:rPr>
        <w:t xml:space="preserve"> above CPI (Consumer Price Index)</w:t>
      </w:r>
      <w:r w:rsidRPr="00A34A18">
        <w:rPr>
          <w:sz w:val="24"/>
        </w:rPr>
        <w:t xml:space="preserve"> </w:t>
      </w:r>
      <w:r w:rsidR="00B14B78" w:rsidRPr="00A34A18">
        <w:rPr>
          <w:sz w:val="24"/>
        </w:rPr>
        <w:t xml:space="preserve">over full market cycles and long term time horizons.  </w:t>
      </w:r>
    </w:p>
    <w:p w:rsidR="003F266A" w:rsidRPr="00A34A18" w:rsidRDefault="003F266A" w:rsidP="003F266A">
      <w:pPr>
        <w:rPr>
          <w:sz w:val="18"/>
        </w:rPr>
      </w:pPr>
    </w:p>
    <w:p w:rsidR="003F266A" w:rsidRPr="00A34A18" w:rsidRDefault="003F266A" w:rsidP="003F266A">
      <w:pPr>
        <w:rPr>
          <w:sz w:val="24"/>
        </w:rPr>
      </w:pPr>
      <w:r w:rsidRPr="00A34A18">
        <w:rPr>
          <w:sz w:val="24"/>
        </w:rPr>
        <w:t xml:space="preserve">The Foundation believes that </w:t>
      </w:r>
      <w:r w:rsidR="00B14B78" w:rsidRPr="00A34A18">
        <w:rPr>
          <w:sz w:val="24"/>
        </w:rPr>
        <w:t>a</w:t>
      </w:r>
      <w:r w:rsidRPr="00A34A18">
        <w:rPr>
          <w:sz w:val="24"/>
        </w:rPr>
        <w:t xml:space="preserve"> </w:t>
      </w:r>
      <w:r w:rsidR="00B14B78" w:rsidRPr="00A34A18">
        <w:rPr>
          <w:sz w:val="24"/>
        </w:rPr>
        <w:t>“</w:t>
      </w:r>
      <w:r w:rsidRPr="00A34A18">
        <w:rPr>
          <w:sz w:val="24"/>
        </w:rPr>
        <w:t xml:space="preserve">total return” portfolio structure will afford them the ability to maintain a competitive rate of return, thereby allowing for spending policy requirements, while providing the potential for principal growth </w:t>
      </w:r>
      <w:r w:rsidR="00B14B78" w:rsidRPr="00A34A18">
        <w:rPr>
          <w:sz w:val="24"/>
        </w:rPr>
        <w:t>and necessary inflation offsets.  The anticipated composition of a portfolio with these stated objectives will include a wide range of globally diversified assets.</w:t>
      </w:r>
      <w:r w:rsidRPr="00A34A18">
        <w:rPr>
          <w:sz w:val="24"/>
        </w:rPr>
        <w:t xml:space="preserve"> </w:t>
      </w:r>
    </w:p>
    <w:p w:rsidR="003F266A" w:rsidRPr="00A34A18" w:rsidRDefault="003F266A" w:rsidP="003F266A">
      <w:pPr>
        <w:jc w:val="center"/>
        <w:rPr>
          <w:sz w:val="24"/>
        </w:rPr>
      </w:pPr>
    </w:p>
    <w:p w:rsidR="003F266A" w:rsidRPr="00A34A18" w:rsidRDefault="003F266A" w:rsidP="00450E28">
      <w:pPr>
        <w:rPr>
          <w:b/>
          <w:sz w:val="24"/>
          <w:u w:val="single"/>
        </w:rPr>
      </w:pPr>
      <w:r w:rsidRPr="00A34A18">
        <w:rPr>
          <w:b/>
          <w:sz w:val="24"/>
          <w:u w:val="single"/>
        </w:rPr>
        <w:t>A</w:t>
      </w:r>
      <w:r w:rsidR="00450E28" w:rsidRPr="00A34A18">
        <w:rPr>
          <w:b/>
          <w:sz w:val="24"/>
          <w:u w:val="single"/>
        </w:rPr>
        <w:t>SSET ALLOCATION</w:t>
      </w:r>
    </w:p>
    <w:p w:rsidR="003F266A" w:rsidRPr="00A34A18" w:rsidRDefault="003F266A" w:rsidP="003F266A">
      <w:pPr>
        <w:jc w:val="center"/>
        <w:rPr>
          <w:b/>
          <w:i/>
          <w:sz w:val="24"/>
        </w:rPr>
      </w:pPr>
    </w:p>
    <w:p w:rsidR="009F7EB9" w:rsidRPr="00A34A18" w:rsidRDefault="003F266A">
      <w:pPr>
        <w:rPr>
          <w:sz w:val="24"/>
        </w:rPr>
      </w:pPr>
      <w:r w:rsidRPr="00A34A18">
        <w:rPr>
          <w:sz w:val="24"/>
        </w:rPr>
        <w:t>The asset allocation should reflect a balance of the Organization’s need for liquidity, preservation of purchasing power and risk tolerances of the Foundation. The strategic target consistent with the achievement of the long-term objective of the Foundation is as follows:</w:t>
      </w:r>
    </w:p>
    <w:p w:rsidR="003F266A" w:rsidRPr="00A34A18" w:rsidRDefault="003F266A">
      <w:pPr>
        <w:rPr>
          <w:sz w:val="18"/>
          <w:szCs w:val="18"/>
        </w:rPr>
      </w:pPr>
      <w:r w:rsidRPr="00A34A18">
        <w:rPr>
          <w:sz w:val="18"/>
          <w:szCs w:val="18"/>
        </w:rPr>
        <w:tab/>
      </w:r>
    </w:p>
    <w:p w:rsidR="003F266A" w:rsidRPr="00A34A18" w:rsidRDefault="003F266A">
      <w:pPr>
        <w:rPr>
          <w:sz w:val="18"/>
          <w:szCs w:val="18"/>
        </w:rPr>
      </w:pPr>
      <w:r w:rsidRPr="00A34A18">
        <w:rPr>
          <w:sz w:val="18"/>
          <w:szCs w:val="18"/>
        </w:rPr>
        <w:tab/>
      </w:r>
    </w:p>
    <w:p w:rsidR="003F266A" w:rsidRPr="00A34A18" w:rsidRDefault="003F266A">
      <w:pPr>
        <w:rPr>
          <w:b/>
          <w:sz w:val="24"/>
          <w:szCs w:val="24"/>
        </w:rPr>
      </w:pPr>
      <w:r w:rsidRPr="00A34A18">
        <w:rPr>
          <w:b/>
          <w:sz w:val="24"/>
          <w:szCs w:val="24"/>
          <w:u w:val="single"/>
        </w:rPr>
        <w:t>Asset Class</w:t>
      </w:r>
      <w:r w:rsidRPr="00A34A18">
        <w:rPr>
          <w:b/>
          <w:sz w:val="24"/>
          <w:szCs w:val="24"/>
        </w:rPr>
        <w:tab/>
      </w:r>
      <w:r w:rsidRPr="00A34A18">
        <w:rPr>
          <w:b/>
          <w:sz w:val="24"/>
          <w:szCs w:val="24"/>
        </w:rPr>
        <w:tab/>
      </w:r>
      <w:r w:rsidRPr="00A34A18">
        <w:rPr>
          <w:b/>
          <w:sz w:val="24"/>
          <w:szCs w:val="24"/>
        </w:rPr>
        <w:tab/>
        <w:t xml:space="preserve">                </w:t>
      </w:r>
      <w:r w:rsidRPr="00A34A18">
        <w:rPr>
          <w:b/>
          <w:sz w:val="24"/>
          <w:szCs w:val="24"/>
        </w:rPr>
        <w:tab/>
      </w:r>
      <w:r w:rsidRPr="00A34A18">
        <w:rPr>
          <w:b/>
          <w:sz w:val="24"/>
          <w:szCs w:val="24"/>
        </w:rPr>
        <w:tab/>
      </w:r>
      <w:r w:rsidR="0076386F" w:rsidRPr="00A34A18">
        <w:rPr>
          <w:b/>
          <w:sz w:val="24"/>
          <w:szCs w:val="24"/>
          <w:u w:val="single"/>
        </w:rPr>
        <w:t xml:space="preserve">  % of Total Foundation Assets</w:t>
      </w:r>
      <w:r w:rsidRPr="00A34A18">
        <w:rPr>
          <w:b/>
          <w:sz w:val="24"/>
          <w:szCs w:val="24"/>
        </w:rPr>
        <w:tab/>
      </w:r>
      <w:r w:rsidRPr="00A34A18">
        <w:rPr>
          <w:b/>
          <w:sz w:val="24"/>
          <w:szCs w:val="24"/>
        </w:rPr>
        <w:tab/>
      </w:r>
      <w:r w:rsidRPr="00A34A18">
        <w:rPr>
          <w:b/>
          <w:sz w:val="24"/>
          <w:szCs w:val="24"/>
        </w:rPr>
        <w:tab/>
      </w:r>
      <w:r w:rsidRPr="00A34A18">
        <w:rPr>
          <w:b/>
          <w:sz w:val="24"/>
          <w:szCs w:val="24"/>
        </w:rPr>
        <w:tab/>
      </w:r>
      <w:r w:rsidRPr="00A34A18">
        <w:rPr>
          <w:b/>
          <w:sz w:val="24"/>
          <w:szCs w:val="24"/>
        </w:rPr>
        <w:tab/>
      </w:r>
      <w:r w:rsidRPr="00A34A18">
        <w:rPr>
          <w:b/>
          <w:sz w:val="24"/>
          <w:szCs w:val="24"/>
        </w:rPr>
        <w:tab/>
        <w:t xml:space="preserve">          </w:t>
      </w:r>
    </w:p>
    <w:p w:rsidR="0076386F" w:rsidRPr="00A34A18" w:rsidRDefault="003F266A" w:rsidP="0076386F">
      <w:pPr>
        <w:rPr>
          <w:b/>
          <w:sz w:val="24"/>
          <w:szCs w:val="24"/>
        </w:rPr>
      </w:pPr>
      <w:r w:rsidRPr="00A34A18">
        <w:rPr>
          <w:b/>
          <w:sz w:val="24"/>
          <w:szCs w:val="24"/>
        </w:rPr>
        <w:t xml:space="preserve">                                                                  </w:t>
      </w:r>
      <w:r w:rsidR="0076386F" w:rsidRPr="00A34A18">
        <w:rPr>
          <w:b/>
          <w:sz w:val="24"/>
          <w:szCs w:val="24"/>
        </w:rPr>
        <w:t>Strategic Target                             Tactical Range</w:t>
      </w:r>
    </w:p>
    <w:p w:rsidR="0076386F" w:rsidRPr="00A34A18" w:rsidRDefault="0076386F">
      <w:pPr>
        <w:rPr>
          <w:b/>
          <w:sz w:val="24"/>
          <w:szCs w:val="24"/>
        </w:rPr>
      </w:pPr>
    </w:p>
    <w:p w:rsidR="003F266A" w:rsidRPr="00A34A18" w:rsidRDefault="003F266A">
      <w:pPr>
        <w:rPr>
          <w:b/>
          <w:sz w:val="24"/>
          <w:szCs w:val="24"/>
        </w:rPr>
      </w:pPr>
      <w:r w:rsidRPr="00A34A18">
        <w:rPr>
          <w:b/>
          <w:sz w:val="24"/>
          <w:szCs w:val="24"/>
        </w:rPr>
        <w:t>Total Equity</w:t>
      </w:r>
      <w:r w:rsidRPr="00A34A18">
        <w:rPr>
          <w:b/>
          <w:sz w:val="24"/>
          <w:szCs w:val="24"/>
        </w:rPr>
        <w:tab/>
      </w:r>
      <w:r w:rsidRPr="00A34A18">
        <w:rPr>
          <w:b/>
          <w:sz w:val="24"/>
          <w:szCs w:val="24"/>
        </w:rPr>
        <w:tab/>
      </w:r>
      <w:r w:rsidRPr="00A34A18">
        <w:rPr>
          <w:b/>
          <w:sz w:val="24"/>
          <w:szCs w:val="24"/>
        </w:rPr>
        <w:tab/>
      </w:r>
      <w:r w:rsidRPr="00A34A18">
        <w:rPr>
          <w:b/>
          <w:sz w:val="24"/>
          <w:szCs w:val="24"/>
        </w:rPr>
        <w:tab/>
      </w:r>
      <w:r w:rsidRPr="00A34A18">
        <w:rPr>
          <w:b/>
          <w:sz w:val="24"/>
          <w:szCs w:val="24"/>
        </w:rPr>
        <w:tab/>
        <w:t xml:space="preserve">    </w:t>
      </w:r>
      <w:r w:rsidR="00450E28" w:rsidRPr="0042359B">
        <w:rPr>
          <w:b/>
          <w:sz w:val="24"/>
          <w:szCs w:val="24"/>
        </w:rPr>
        <w:t>60</w:t>
      </w:r>
      <w:r w:rsidRPr="00A34A18">
        <w:rPr>
          <w:sz w:val="24"/>
          <w:szCs w:val="24"/>
        </w:rPr>
        <w:t>%</w:t>
      </w:r>
      <w:r w:rsidRPr="00A34A18">
        <w:rPr>
          <w:b/>
          <w:sz w:val="24"/>
          <w:szCs w:val="24"/>
        </w:rPr>
        <w:tab/>
      </w:r>
      <w:r w:rsidRPr="00A34A18">
        <w:rPr>
          <w:b/>
          <w:sz w:val="24"/>
          <w:szCs w:val="24"/>
        </w:rPr>
        <w:tab/>
      </w:r>
      <w:r w:rsidRPr="00A34A18">
        <w:rPr>
          <w:b/>
          <w:sz w:val="24"/>
          <w:szCs w:val="24"/>
        </w:rPr>
        <w:tab/>
        <w:t xml:space="preserve">        </w:t>
      </w:r>
      <w:r w:rsidR="00450E28" w:rsidRPr="00A34A18">
        <w:rPr>
          <w:b/>
          <w:sz w:val="24"/>
          <w:szCs w:val="24"/>
        </w:rPr>
        <w:tab/>
        <w:t xml:space="preserve">        </w:t>
      </w:r>
      <w:r w:rsidRPr="00A34A18">
        <w:rPr>
          <w:b/>
          <w:sz w:val="24"/>
          <w:szCs w:val="24"/>
        </w:rPr>
        <w:t>4</w:t>
      </w:r>
      <w:r w:rsidR="00450E28" w:rsidRPr="00A34A18">
        <w:rPr>
          <w:b/>
          <w:sz w:val="24"/>
          <w:szCs w:val="24"/>
        </w:rPr>
        <w:t>5</w:t>
      </w:r>
      <w:r w:rsidRPr="00A34A18">
        <w:rPr>
          <w:b/>
          <w:sz w:val="24"/>
          <w:szCs w:val="24"/>
        </w:rPr>
        <w:t>-</w:t>
      </w:r>
      <w:r w:rsidR="00450E28" w:rsidRPr="00A34A18">
        <w:rPr>
          <w:b/>
          <w:sz w:val="24"/>
          <w:szCs w:val="24"/>
        </w:rPr>
        <w:t>70</w:t>
      </w:r>
      <w:r w:rsidRPr="00A34A18">
        <w:rPr>
          <w:b/>
          <w:sz w:val="24"/>
          <w:szCs w:val="24"/>
        </w:rPr>
        <w:t>%</w:t>
      </w:r>
      <w:r w:rsidRPr="00A34A18">
        <w:rPr>
          <w:b/>
          <w:sz w:val="24"/>
          <w:szCs w:val="24"/>
        </w:rPr>
        <w:tab/>
      </w:r>
      <w:r w:rsidRPr="00A34A18">
        <w:rPr>
          <w:b/>
          <w:sz w:val="24"/>
          <w:szCs w:val="24"/>
        </w:rPr>
        <w:tab/>
      </w:r>
      <w:r w:rsidRPr="00A34A18">
        <w:rPr>
          <w:b/>
          <w:sz w:val="24"/>
          <w:szCs w:val="24"/>
        </w:rPr>
        <w:tab/>
      </w:r>
      <w:r w:rsidRPr="00A34A18">
        <w:rPr>
          <w:b/>
          <w:sz w:val="24"/>
          <w:szCs w:val="24"/>
        </w:rPr>
        <w:tab/>
      </w:r>
      <w:r w:rsidRPr="00A34A18">
        <w:rPr>
          <w:b/>
          <w:sz w:val="24"/>
          <w:szCs w:val="24"/>
        </w:rPr>
        <w:tab/>
      </w:r>
    </w:p>
    <w:p w:rsidR="003F266A" w:rsidRPr="00A34A18" w:rsidRDefault="00126337">
      <w:pPr>
        <w:rPr>
          <w:sz w:val="24"/>
          <w:szCs w:val="24"/>
        </w:rPr>
      </w:pPr>
      <w:r w:rsidRPr="00A34A18">
        <w:rPr>
          <w:sz w:val="24"/>
          <w:szCs w:val="24"/>
        </w:rPr>
        <w:t xml:space="preserve">     </w:t>
      </w:r>
      <w:r w:rsidR="003F266A" w:rsidRPr="00A34A18">
        <w:rPr>
          <w:sz w:val="24"/>
          <w:szCs w:val="24"/>
        </w:rPr>
        <w:t>US Large Cap Equity</w:t>
      </w:r>
      <w:r w:rsidR="003F266A" w:rsidRPr="00A34A18">
        <w:rPr>
          <w:sz w:val="24"/>
          <w:szCs w:val="24"/>
        </w:rPr>
        <w:tab/>
      </w:r>
      <w:r w:rsidR="003F266A" w:rsidRPr="00A34A18">
        <w:rPr>
          <w:sz w:val="24"/>
          <w:szCs w:val="24"/>
        </w:rPr>
        <w:tab/>
      </w:r>
      <w:r w:rsidR="003F266A" w:rsidRPr="00A34A18">
        <w:rPr>
          <w:sz w:val="24"/>
          <w:szCs w:val="24"/>
        </w:rPr>
        <w:tab/>
        <w:t xml:space="preserve">    35%</w:t>
      </w:r>
      <w:r w:rsidR="003F266A" w:rsidRPr="00A34A18">
        <w:rPr>
          <w:sz w:val="24"/>
          <w:szCs w:val="24"/>
        </w:rPr>
        <w:tab/>
      </w:r>
      <w:r w:rsidR="003F266A" w:rsidRPr="00A34A18">
        <w:rPr>
          <w:sz w:val="24"/>
          <w:szCs w:val="24"/>
        </w:rPr>
        <w:tab/>
      </w:r>
      <w:r w:rsidR="003F266A" w:rsidRPr="00A34A18">
        <w:rPr>
          <w:sz w:val="24"/>
          <w:szCs w:val="24"/>
        </w:rPr>
        <w:tab/>
      </w:r>
      <w:r w:rsidR="003F266A" w:rsidRPr="00A34A18">
        <w:rPr>
          <w:sz w:val="24"/>
          <w:szCs w:val="24"/>
        </w:rPr>
        <w:tab/>
        <w:t xml:space="preserve">        30-55%</w:t>
      </w:r>
    </w:p>
    <w:p w:rsidR="003F266A" w:rsidRPr="00A34A18" w:rsidRDefault="00126337">
      <w:pPr>
        <w:rPr>
          <w:sz w:val="24"/>
          <w:szCs w:val="24"/>
        </w:rPr>
      </w:pPr>
      <w:r w:rsidRPr="00A34A18">
        <w:rPr>
          <w:sz w:val="24"/>
          <w:szCs w:val="24"/>
        </w:rPr>
        <w:t xml:space="preserve">     </w:t>
      </w:r>
      <w:r w:rsidR="003F266A" w:rsidRPr="00A34A18">
        <w:rPr>
          <w:sz w:val="24"/>
          <w:szCs w:val="24"/>
        </w:rPr>
        <w:t>US Small/Mid Cap Equity</w:t>
      </w:r>
      <w:r w:rsidR="003F266A" w:rsidRPr="00A34A18">
        <w:rPr>
          <w:sz w:val="24"/>
          <w:szCs w:val="24"/>
        </w:rPr>
        <w:tab/>
      </w:r>
      <w:r w:rsidR="003F266A" w:rsidRPr="00A34A18">
        <w:rPr>
          <w:sz w:val="24"/>
          <w:szCs w:val="24"/>
        </w:rPr>
        <w:tab/>
      </w:r>
      <w:r w:rsidR="003F266A" w:rsidRPr="00A34A18">
        <w:rPr>
          <w:sz w:val="24"/>
          <w:szCs w:val="24"/>
        </w:rPr>
        <w:tab/>
        <w:t xml:space="preserve">    1</w:t>
      </w:r>
      <w:r w:rsidR="00B322D9" w:rsidRPr="00A34A18">
        <w:rPr>
          <w:sz w:val="24"/>
          <w:szCs w:val="24"/>
        </w:rPr>
        <w:t>5</w:t>
      </w:r>
      <w:r w:rsidR="003F266A" w:rsidRPr="00A34A18">
        <w:rPr>
          <w:sz w:val="24"/>
          <w:szCs w:val="24"/>
        </w:rPr>
        <w:t>%</w:t>
      </w:r>
      <w:r w:rsidR="003F266A" w:rsidRPr="00A34A18">
        <w:rPr>
          <w:sz w:val="24"/>
          <w:szCs w:val="24"/>
        </w:rPr>
        <w:tab/>
      </w:r>
      <w:r w:rsidR="003F266A" w:rsidRPr="00A34A18">
        <w:rPr>
          <w:sz w:val="24"/>
          <w:szCs w:val="24"/>
        </w:rPr>
        <w:tab/>
      </w:r>
      <w:r w:rsidR="003F266A" w:rsidRPr="00A34A18">
        <w:rPr>
          <w:sz w:val="24"/>
          <w:szCs w:val="24"/>
        </w:rPr>
        <w:tab/>
      </w:r>
      <w:r w:rsidR="003F266A" w:rsidRPr="00A34A18">
        <w:rPr>
          <w:sz w:val="24"/>
          <w:szCs w:val="24"/>
        </w:rPr>
        <w:tab/>
        <w:t xml:space="preserve">          </w:t>
      </w:r>
      <w:r w:rsidR="007D7CFA">
        <w:rPr>
          <w:sz w:val="24"/>
          <w:szCs w:val="24"/>
        </w:rPr>
        <w:t>5-25</w:t>
      </w:r>
      <w:r w:rsidR="003F266A" w:rsidRPr="00A34A18">
        <w:rPr>
          <w:sz w:val="24"/>
          <w:szCs w:val="24"/>
        </w:rPr>
        <w:t>%</w:t>
      </w:r>
    </w:p>
    <w:p w:rsidR="003F266A" w:rsidRPr="00A34A18" w:rsidRDefault="00126337">
      <w:pPr>
        <w:rPr>
          <w:sz w:val="24"/>
          <w:szCs w:val="24"/>
        </w:rPr>
      </w:pPr>
      <w:r w:rsidRPr="00A34A18">
        <w:rPr>
          <w:sz w:val="24"/>
          <w:szCs w:val="24"/>
        </w:rPr>
        <w:t xml:space="preserve">     </w:t>
      </w:r>
      <w:r w:rsidR="003F266A" w:rsidRPr="00A34A18">
        <w:rPr>
          <w:sz w:val="24"/>
          <w:szCs w:val="24"/>
        </w:rPr>
        <w:t>International Equity</w:t>
      </w:r>
      <w:r w:rsidR="003F266A" w:rsidRPr="00A34A18">
        <w:rPr>
          <w:sz w:val="24"/>
          <w:szCs w:val="24"/>
        </w:rPr>
        <w:tab/>
      </w:r>
      <w:r w:rsidR="003F266A" w:rsidRPr="00A34A18">
        <w:rPr>
          <w:sz w:val="24"/>
          <w:szCs w:val="24"/>
        </w:rPr>
        <w:tab/>
      </w:r>
      <w:r w:rsidR="003F266A" w:rsidRPr="00A34A18">
        <w:rPr>
          <w:sz w:val="24"/>
          <w:szCs w:val="24"/>
        </w:rPr>
        <w:tab/>
        <w:t xml:space="preserve">    </w:t>
      </w:r>
      <w:r w:rsidR="007D7CFA">
        <w:rPr>
          <w:sz w:val="24"/>
          <w:szCs w:val="24"/>
        </w:rPr>
        <w:t>10</w:t>
      </w:r>
      <w:r w:rsidR="003F266A" w:rsidRPr="00A34A18">
        <w:rPr>
          <w:sz w:val="24"/>
          <w:szCs w:val="24"/>
        </w:rPr>
        <w:t>%</w:t>
      </w:r>
      <w:r w:rsidR="003F266A" w:rsidRPr="00A34A18">
        <w:rPr>
          <w:sz w:val="24"/>
          <w:szCs w:val="24"/>
        </w:rPr>
        <w:tab/>
      </w:r>
      <w:r w:rsidR="003F266A" w:rsidRPr="00A34A18">
        <w:rPr>
          <w:sz w:val="24"/>
          <w:szCs w:val="24"/>
        </w:rPr>
        <w:tab/>
      </w:r>
      <w:r w:rsidR="003F266A" w:rsidRPr="00A34A18">
        <w:rPr>
          <w:sz w:val="24"/>
          <w:szCs w:val="24"/>
        </w:rPr>
        <w:tab/>
      </w:r>
      <w:r w:rsidR="007D7CFA">
        <w:rPr>
          <w:sz w:val="24"/>
          <w:szCs w:val="24"/>
        </w:rPr>
        <w:t xml:space="preserve">                      5-2</w:t>
      </w:r>
      <w:r w:rsidR="003F266A" w:rsidRPr="00A34A18">
        <w:rPr>
          <w:sz w:val="24"/>
          <w:szCs w:val="24"/>
        </w:rPr>
        <w:t xml:space="preserve">5%  </w:t>
      </w:r>
    </w:p>
    <w:p w:rsidR="003F266A" w:rsidRPr="00A34A18" w:rsidRDefault="003F266A">
      <w:pPr>
        <w:rPr>
          <w:b/>
          <w:sz w:val="24"/>
          <w:szCs w:val="24"/>
        </w:rPr>
      </w:pPr>
    </w:p>
    <w:p w:rsidR="0076386F" w:rsidRPr="00A34A18" w:rsidRDefault="0076386F">
      <w:pPr>
        <w:rPr>
          <w:b/>
          <w:sz w:val="24"/>
          <w:szCs w:val="24"/>
        </w:rPr>
      </w:pPr>
      <w:r w:rsidRPr="00A34A18">
        <w:rPr>
          <w:b/>
          <w:sz w:val="24"/>
          <w:szCs w:val="24"/>
        </w:rPr>
        <w:t>Total Alternative Investments</w:t>
      </w:r>
      <w:r w:rsidRPr="00A34A18">
        <w:rPr>
          <w:b/>
          <w:sz w:val="24"/>
          <w:szCs w:val="24"/>
        </w:rPr>
        <w:tab/>
      </w:r>
      <w:r w:rsidRPr="00A34A18">
        <w:rPr>
          <w:b/>
          <w:sz w:val="24"/>
          <w:szCs w:val="24"/>
        </w:rPr>
        <w:tab/>
        <w:t xml:space="preserve">    </w:t>
      </w:r>
      <w:r w:rsidR="002E2188" w:rsidRPr="00A34A18">
        <w:rPr>
          <w:b/>
          <w:sz w:val="24"/>
          <w:szCs w:val="24"/>
        </w:rPr>
        <w:t xml:space="preserve">  </w:t>
      </w:r>
      <w:r w:rsidR="00450E28" w:rsidRPr="00A34A18">
        <w:rPr>
          <w:b/>
          <w:sz w:val="24"/>
          <w:szCs w:val="24"/>
        </w:rPr>
        <w:t>5</w:t>
      </w:r>
      <w:r w:rsidRPr="00A34A18">
        <w:rPr>
          <w:b/>
          <w:sz w:val="24"/>
          <w:szCs w:val="24"/>
        </w:rPr>
        <w:t>%</w:t>
      </w:r>
      <w:r w:rsidRPr="00A34A18">
        <w:rPr>
          <w:b/>
          <w:sz w:val="24"/>
          <w:szCs w:val="24"/>
        </w:rPr>
        <w:tab/>
      </w:r>
      <w:r w:rsidRPr="00A34A18">
        <w:rPr>
          <w:b/>
          <w:sz w:val="24"/>
          <w:szCs w:val="24"/>
        </w:rPr>
        <w:tab/>
      </w:r>
      <w:r w:rsidRPr="00A34A18">
        <w:rPr>
          <w:b/>
          <w:sz w:val="24"/>
          <w:szCs w:val="24"/>
        </w:rPr>
        <w:tab/>
        <w:t xml:space="preserve"> </w:t>
      </w:r>
      <w:r w:rsidR="00F530CE" w:rsidRPr="00A34A18">
        <w:rPr>
          <w:b/>
          <w:sz w:val="24"/>
          <w:szCs w:val="24"/>
        </w:rPr>
        <w:t xml:space="preserve"> </w:t>
      </w:r>
      <w:r w:rsidRPr="00A34A18">
        <w:rPr>
          <w:b/>
          <w:sz w:val="24"/>
          <w:szCs w:val="24"/>
        </w:rPr>
        <w:t xml:space="preserve">        0-15%</w:t>
      </w:r>
      <w:r w:rsidRPr="00A34A18">
        <w:rPr>
          <w:sz w:val="24"/>
          <w:szCs w:val="24"/>
        </w:rPr>
        <w:tab/>
      </w:r>
      <w:r w:rsidRPr="00A34A18">
        <w:rPr>
          <w:b/>
          <w:sz w:val="24"/>
          <w:szCs w:val="24"/>
        </w:rPr>
        <w:tab/>
      </w:r>
    </w:p>
    <w:p w:rsidR="0076386F" w:rsidRPr="00A34A18" w:rsidRDefault="0076386F">
      <w:pPr>
        <w:rPr>
          <w:b/>
          <w:sz w:val="24"/>
          <w:szCs w:val="24"/>
        </w:rPr>
      </w:pPr>
    </w:p>
    <w:p w:rsidR="003F266A" w:rsidRPr="00A34A18" w:rsidRDefault="003F266A">
      <w:pPr>
        <w:rPr>
          <w:b/>
          <w:sz w:val="24"/>
          <w:szCs w:val="24"/>
        </w:rPr>
      </w:pPr>
      <w:r w:rsidRPr="00A34A18">
        <w:rPr>
          <w:b/>
          <w:sz w:val="24"/>
          <w:szCs w:val="24"/>
        </w:rPr>
        <w:t>Total Fixed Income</w:t>
      </w:r>
      <w:r w:rsidR="0076386F" w:rsidRPr="00A34A18">
        <w:rPr>
          <w:b/>
          <w:sz w:val="24"/>
          <w:szCs w:val="24"/>
        </w:rPr>
        <w:t xml:space="preserve">/Cash Equivalents        </w:t>
      </w:r>
      <w:r w:rsidRPr="00A34A18">
        <w:rPr>
          <w:b/>
          <w:sz w:val="24"/>
          <w:szCs w:val="24"/>
        </w:rPr>
        <w:t xml:space="preserve">    </w:t>
      </w:r>
      <w:r w:rsidR="00450E28" w:rsidRPr="00A34A18">
        <w:rPr>
          <w:b/>
          <w:sz w:val="24"/>
          <w:szCs w:val="24"/>
        </w:rPr>
        <w:t>35</w:t>
      </w:r>
      <w:r w:rsidRPr="00A34A18">
        <w:rPr>
          <w:b/>
          <w:sz w:val="24"/>
          <w:szCs w:val="24"/>
        </w:rPr>
        <w:t>%</w:t>
      </w:r>
      <w:r w:rsidRPr="00A34A18">
        <w:rPr>
          <w:b/>
          <w:sz w:val="24"/>
          <w:szCs w:val="24"/>
        </w:rPr>
        <w:tab/>
      </w:r>
      <w:r w:rsidRPr="00A34A18">
        <w:rPr>
          <w:b/>
          <w:sz w:val="24"/>
          <w:szCs w:val="24"/>
        </w:rPr>
        <w:tab/>
      </w:r>
      <w:r w:rsidRPr="00A34A18">
        <w:rPr>
          <w:b/>
          <w:sz w:val="24"/>
          <w:szCs w:val="24"/>
        </w:rPr>
        <w:tab/>
      </w:r>
      <w:r w:rsidR="00F530CE" w:rsidRPr="00A34A18">
        <w:rPr>
          <w:b/>
          <w:sz w:val="24"/>
          <w:szCs w:val="24"/>
        </w:rPr>
        <w:t xml:space="preserve"> </w:t>
      </w:r>
      <w:r w:rsidRPr="00A34A18">
        <w:rPr>
          <w:b/>
          <w:sz w:val="24"/>
          <w:szCs w:val="24"/>
        </w:rPr>
        <w:t xml:space="preserve">      </w:t>
      </w:r>
      <w:r w:rsidR="0076386F" w:rsidRPr="00A34A18">
        <w:rPr>
          <w:b/>
          <w:sz w:val="24"/>
          <w:szCs w:val="24"/>
        </w:rPr>
        <w:t xml:space="preserve"> </w:t>
      </w:r>
      <w:r w:rsidRPr="00A34A18">
        <w:rPr>
          <w:b/>
          <w:sz w:val="24"/>
          <w:szCs w:val="24"/>
        </w:rPr>
        <w:t>30-</w:t>
      </w:r>
      <w:r w:rsidR="00450E28" w:rsidRPr="00A34A18">
        <w:rPr>
          <w:b/>
          <w:sz w:val="24"/>
          <w:szCs w:val="24"/>
        </w:rPr>
        <w:t>5</w:t>
      </w:r>
      <w:r w:rsidRPr="00A34A18">
        <w:rPr>
          <w:b/>
          <w:sz w:val="24"/>
          <w:szCs w:val="24"/>
        </w:rPr>
        <w:t>0%</w:t>
      </w:r>
      <w:r w:rsidR="0076386F" w:rsidRPr="00A34A18">
        <w:rPr>
          <w:sz w:val="24"/>
          <w:szCs w:val="24"/>
        </w:rPr>
        <w:t xml:space="preserve"> </w:t>
      </w:r>
    </w:p>
    <w:p w:rsidR="003F266A" w:rsidRPr="00A34A18" w:rsidRDefault="003F266A">
      <w:pPr>
        <w:rPr>
          <w:sz w:val="24"/>
          <w:szCs w:val="24"/>
        </w:rPr>
      </w:pPr>
    </w:p>
    <w:p w:rsidR="003F266A" w:rsidRPr="00A34A18" w:rsidRDefault="003F266A">
      <w:pPr>
        <w:rPr>
          <w:sz w:val="18"/>
          <w:szCs w:val="18"/>
        </w:rPr>
      </w:pPr>
    </w:p>
    <w:p w:rsidR="0076386F" w:rsidRPr="00A34A18" w:rsidRDefault="0076386F" w:rsidP="0076386F">
      <w:pPr>
        <w:rPr>
          <w:sz w:val="24"/>
        </w:rPr>
      </w:pPr>
      <w:r w:rsidRPr="00A34A18">
        <w:rPr>
          <w:sz w:val="24"/>
        </w:rPr>
        <w:t>The strategic allocation provides reasonable assurance that the Foundation’s investment objectives can be achieved based on historic relationships of asset class performance.  Liquidity is required only to meet defined pay-out needs, unless the consultant or managers are otherwise advised by the Executive Committee.</w:t>
      </w:r>
    </w:p>
    <w:p w:rsidR="0076386F" w:rsidRPr="00A34A18" w:rsidRDefault="0076386F" w:rsidP="0076386F">
      <w:pPr>
        <w:rPr>
          <w:sz w:val="24"/>
        </w:rPr>
      </w:pPr>
    </w:p>
    <w:p w:rsidR="0076386F" w:rsidRPr="00A34A18" w:rsidRDefault="0076386F" w:rsidP="0076386F">
      <w:pPr>
        <w:rPr>
          <w:sz w:val="24"/>
        </w:rPr>
      </w:pPr>
      <w:r w:rsidRPr="00A34A18">
        <w:rPr>
          <w:sz w:val="24"/>
        </w:rPr>
        <w:t xml:space="preserve">It is the Executive Committee’s responsibility to monitor the overall allocation.  It is understood that the tactical ranges are targets and that deviations may occur as a result of market impact or from short-term timing decisions implemented by either the Committee or, with prior approval, </w:t>
      </w:r>
      <w:r w:rsidRPr="00A34A18">
        <w:rPr>
          <w:sz w:val="24"/>
        </w:rPr>
        <w:lastRenderedPageBreak/>
        <w:t xml:space="preserve">by the investment managers.  Any permanent changes to these guidelines must be approved by the </w:t>
      </w:r>
      <w:r w:rsidR="008160FC" w:rsidRPr="00A34A18">
        <w:rPr>
          <w:sz w:val="24"/>
        </w:rPr>
        <w:t>Board of Directors</w:t>
      </w:r>
      <w:r w:rsidRPr="00A34A18">
        <w:rPr>
          <w:sz w:val="24"/>
        </w:rPr>
        <w:t>.</w:t>
      </w:r>
    </w:p>
    <w:p w:rsidR="003F266A" w:rsidRPr="00A34A18" w:rsidRDefault="003F266A" w:rsidP="00B80E04">
      <w:pPr>
        <w:jc w:val="center"/>
        <w:rPr>
          <w:sz w:val="18"/>
          <w:szCs w:val="18"/>
        </w:rPr>
      </w:pPr>
    </w:p>
    <w:p w:rsidR="006A2AEB" w:rsidRPr="00A34A18" w:rsidRDefault="00607B4C" w:rsidP="00607B4C">
      <w:pPr>
        <w:rPr>
          <w:b/>
          <w:sz w:val="24"/>
          <w:szCs w:val="24"/>
          <w:u w:val="single"/>
        </w:rPr>
      </w:pPr>
      <w:r w:rsidRPr="00A34A18">
        <w:rPr>
          <w:b/>
          <w:sz w:val="24"/>
          <w:szCs w:val="24"/>
          <w:u w:val="single"/>
        </w:rPr>
        <w:t>IMPLEMENTATION</w:t>
      </w:r>
    </w:p>
    <w:p w:rsidR="006A2AEB" w:rsidRPr="00A34A18" w:rsidRDefault="006A2AEB" w:rsidP="005B70B3">
      <w:pPr>
        <w:rPr>
          <w:b/>
          <w:sz w:val="24"/>
          <w:szCs w:val="24"/>
        </w:rPr>
      </w:pPr>
    </w:p>
    <w:p w:rsidR="005B70B3" w:rsidRPr="00A34A18" w:rsidRDefault="005B70B3" w:rsidP="005B70B3">
      <w:pPr>
        <w:rPr>
          <w:sz w:val="24"/>
          <w:szCs w:val="24"/>
        </w:rPr>
      </w:pPr>
      <w:r w:rsidRPr="00A34A18">
        <w:rPr>
          <w:sz w:val="24"/>
          <w:szCs w:val="24"/>
        </w:rPr>
        <w:t>The Board</w:t>
      </w:r>
      <w:r w:rsidR="008160FC" w:rsidRPr="00A34A18">
        <w:rPr>
          <w:sz w:val="24"/>
          <w:szCs w:val="24"/>
        </w:rPr>
        <w:t xml:space="preserve"> of Directors of the Foundation</w:t>
      </w:r>
      <w:r w:rsidRPr="00A34A18">
        <w:rPr>
          <w:sz w:val="24"/>
          <w:szCs w:val="24"/>
        </w:rPr>
        <w:t xml:space="preserve"> is a fiduciary and is responsible for directing and monitoring the investment management of Fund assets.  As such, the </w:t>
      </w:r>
      <w:r w:rsidR="008160FC" w:rsidRPr="00A34A18">
        <w:rPr>
          <w:sz w:val="24"/>
          <w:szCs w:val="24"/>
        </w:rPr>
        <w:t>Board of Directors</w:t>
      </w:r>
      <w:r w:rsidRPr="00A34A18">
        <w:rPr>
          <w:sz w:val="24"/>
          <w:szCs w:val="24"/>
        </w:rPr>
        <w:t xml:space="preserve">, and/or </w:t>
      </w:r>
      <w:r w:rsidR="00740029" w:rsidRPr="00A34A18">
        <w:rPr>
          <w:sz w:val="24"/>
          <w:szCs w:val="24"/>
        </w:rPr>
        <w:t>its</w:t>
      </w:r>
      <w:r w:rsidRPr="00A34A18">
        <w:rPr>
          <w:sz w:val="24"/>
          <w:szCs w:val="24"/>
        </w:rPr>
        <w:t xml:space="preserve"> approved agent, is authorized to delegate certain responsibilities to professionals in various fields.  These include, but are not limited to:</w:t>
      </w:r>
    </w:p>
    <w:p w:rsidR="005B70B3" w:rsidRPr="00A34A18" w:rsidRDefault="005B70B3" w:rsidP="005B70B3">
      <w:pPr>
        <w:spacing w:before="120"/>
        <w:ind w:left="720" w:hanging="504"/>
        <w:rPr>
          <w:sz w:val="24"/>
          <w:szCs w:val="24"/>
        </w:rPr>
      </w:pPr>
      <w:r w:rsidRPr="00A34A18">
        <w:rPr>
          <w:sz w:val="24"/>
          <w:szCs w:val="24"/>
        </w:rPr>
        <w:t>1.</w:t>
      </w:r>
      <w:r w:rsidRPr="00A34A18">
        <w:rPr>
          <w:sz w:val="24"/>
          <w:szCs w:val="24"/>
        </w:rPr>
        <w:tab/>
        <w:t xml:space="preserve">Investment Management Consultant.  The consultant may </w:t>
      </w:r>
      <w:r w:rsidR="00943EAB" w:rsidRPr="00A34A18">
        <w:rPr>
          <w:sz w:val="24"/>
          <w:szCs w:val="24"/>
        </w:rPr>
        <w:t xml:space="preserve">be employed to </w:t>
      </w:r>
      <w:r w:rsidRPr="00A34A18">
        <w:rPr>
          <w:sz w:val="24"/>
          <w:szCs w:val="24"/>
        </w:rPr>
        <w:t xml:space="preserve">assist the </w:t>
      </w:r>
      <w:r w:rsidR="008160FC" w:rsidRPr="00A34A18">
        <w:rPr>
          <w:sz w:val="24"/>
          <w:szCs w:val="24"/>
        </w:rPr>
        <w:t>Executive</w:t>
      </w:r>
      <w:r w:rsidRPr="00A34A18">
        <w:rPr>
          <w:sz w:val="24"/>
          <w:szCs w:val="24"/>
        </w:rPr>
        <w:t xml:space="preserve"> Committee in: establishing investment policy, objectives, and guidelines; selecting investment managers; reviewing such managers over time; measuring and evaluating investment performance; and other tasks as deemed appropriate.</w:t>
      </w:r>
    </w:p>
    <w:p w:rsidR="005B70B3" w:rsidRPr="00A34A18" w:rsidRDefault="005B70B3" w:rsidP="005B70B3">
      <w:pPr>
        <w:ind w:left="720" w:hanging="504"/>
        <w:rPr>
          <w:sz w:val="24"/>
          <w:szCs w:val="24"/>
        </w:rPr>
      </w:pPr>
      <w:r w:rsidRPr="00A34A18">
        <w:rPr>
          <w:sz w:val="24"/>
          <w:szCs w:val="24"/>
        </w:rPr>
        <w:t>2.</w:t>
      </w:r>
      <w:r w:rsidRPr="00A34A18">
        <w:rPr>
          <w:sz w:val="24"/>
          <w:szCs w:val="24"/>
        </w:rPr>
        <w:tab/>
        <w:t xml:space="preserve">Investment Manager.  The investment manager </w:t>
      </w:r>
      <w:r w:rsidR="00943EAB" w:rsidRPr="00A34A18">
        <w:rPr>
          <w:sz w:val="24"/>
          <w:szCs w:val="24"/>
        </w:rPr>
        <w:t xml:space="preserve">may be employed with </w:t>
      </w:r>
      <w:r w:rsidRPr="00A34A18">
        <w:rPr>
          <w:sz w:val="24"/>
          <w:szCs w:val="24"/>
        </w:rPr>
        <w:t xml:space="preserve">discretion to purchase, sell, or hold the specific securities that will be used to meet </w:t>
      </w:r>
      <w:r w:rsidR="00943EAB" w:rsidRPr="00A34A18">
        <w:rPr>
          <w:sz w:val="24"/>
          <w:szCs w:val="24"/>
        </w:rPr>
        <w:t>said manager’s</w:t>
      </w:r>
      <w:r w:rsidRPr="00A34A18">
        <w:rPr>
          <w:sz w:val="24"/>
          <w:szCs w:val="24"/>
        </w:rPr>
        <w:t xml:space="preserve"> investment objectives.</w:t>
      </w:r>
    </w:p>
    <w:p w:rsidR="006A2AEB" w:rsidRPr="00A34A18" w:rsidRDefault="005B70B3" w:rsidP="005B70B3">
      <w:pPr>
        <w:ind w:left="720" w:hanging="720"/>
        <w:rPr>
          <w:sz w:val="24"/>
          <w:szCs w:val="24"/>
        </w:rPr>
      </w:pPr>
      <w:r w:rsidRPr="00A34A18">
        <w:rPr>
          <w:sz w:val="24"/>
          <w:szCs w:val="24"/>
        </w:rPr>
        <w:t xml:space="preserve">    3.</w:t>
      </w:r>
      <w:r w:rsidRPr="00A34A18">
        <w:rPr>
          <w:sz w:val="24"/>
          <w:szCs w:val="24"/>
        </w:rPr>
        <w:tab/>
        <w:t xml:space="preserve">Additional specialists such as attorneys, auditors, and others may be employed by the </w:t>
      </w:r>
      <w:r w:rsidR="008160FC" w:rsidRPr="00A34A18">
        <w:rPr>
          <w:sz w:val="24"/>
          <w:szCs w:val="24"/>
        </w:rPr>
        <w:t>Board of Directors</w:t>
      </w:r>
      <w:r w:rsidRPr="00A34A18">
        <w:rPr>
          <w:sz w:val="24"/>
          <w:szCs w:val="24"/>
        </w:rPr>
        <w:t xml:space="preserve"> to assist in meeting its responsibilities and obligations to administer </w:t>
      </w:r>
      <w:r w:rsidR="00717500" w:rsidRPr="00A34A18">
        <w:rPr>
          <w:sz w:val="24"/>
          <w:szCs w:val="24"/>
        </w:rPr>
        <w:t>foundation</w:t>
      </w:r>
      <w:r w:rsidRPr="00A34A18">
        <w:rPr>
          <w:sz w:val="24"/>
          <w:szCs w:val="24"/>
        </w:rPr>
        <w:t xml:space="preserve"> assets prudently</w:t>
      </w:r>
      <w:r w:rsidR="00717500" w:rsidRPr="00A34A18">
        <w:rPr>
          <w:sz w:val="24"/>
          <w:szCs w:val="24"/>
        </w:rPr>
        <w:t>.</w:t>
      </w:r>
    </w:p>
    <w:p w:rsidR="004749D1" w:rsidRPr="00A34A18" w:rsidRDefault="004749D1" w:rsidP="005B70B3">
      <w:pPr>
        <w:ind w:left="720" w:hanging="720"/>
        <w:rPr>
          <w:sz w:val="24"/>
          <w:szCs w:val="24"/>
        </w:rPr>
      </w:pPr>
    </w:p>
    <w:p w:rsidR="004749D1" w:rsidRPr="00A34A18" w:rsidRDefault="004749D1" w:rsidP="004749D1">
      <w:pPr>
        <w:rPr>
          <w:sz w:val="24"/>
          <w:szCs w:val="24"/>
        </w:rPr>
      </w:pPr>
      <w:r w:rsidRPr="00A34A18">
        <w:rPr>
          <w:sz w:val="24"/>
          <w:szCs w:val="24"/>
        </w:rPr>
        <w:t xml:space="preserve">No strict formula will be utilized in hiring, maintaining, or </w:t>
      </w:r>
      <w:r w:rsidR="00642D68" w:rsidRPr="00A34A18">
        <w:rPr>
          <w:sz w:val="24"/>
          <w:szCs w:val="24"/>
        </w:rPr>
        <w:t>terminating</w:t>
      </w:r>
      <w:r w:rsidRPr="00A34A18">
        <w:rPr>
          <w:sz w:val="24"/>
          <w:szCs w:val="24"/>
        </w:rPr>
        <w:t xml:space="preserve"> any particular investment manager, as the Board believes that this is a largely subjective decision on the part of both the Board as well as the Investment Management Consultant.  However, key criteria which shall be evaluated in making these determinations may include but are not limited to: Stability of the organization and management team, regulatory compliance, assets under management, risk adjusted returns, </w:t>
      </w:r>
      <w:r w:rsidR="002055CE" w:rsidRPr="00A34A18">
        <w:rPr>
          <w:sz w:val="24"/>
          <w:szCs w:val="24"/>
        </w:rPr>
        <w:t xml:space="preserve">relative </w:t>
      </w:r>
      <w:r w:rsidRPr="00A34A18">
        <w:rPr>
          <w:sz w:val="24"/>
          <w:szCs w:val="24"/>
        </w:rPr>
        <w:t>peer group performance, and portfolio composition.</w:t>
      </w:r>
    </w:p>
    <w:p w:rsidR="006A2AEB" w:rsidRPr="00A34A18" w:rsidRDefault="006A2AEB" w:rsidP="00B80E04">
      <w:pPr>
        <w:jc w:val="center"/>
        <w:rPr>
          <w:sz w:val="24"/>
          <w:szCs w:val="24"/>
        </w:rPr>
      </w:pPr>
    </w:p>
    <w:p w:rsidR="00607B4C" w:rsidRPr="00A34A18" w:rsidRDefault="00607B4C" w:rsidP="00607B4C">
      <w:pPr>
        <w:rPr>
          <w:b/>
          <w:sz w:val="24"/>
          <w:szCs w:val="24"/>
          <w:u w:val="single"/>
        </w:rPr>
      </w:pPr>
      <w:r w:rsidRPr="00A34A18">
        <w:rPr>
          <w:b/>
          <w:sz w:val="24"/>
          <w:szCs w:val="24"/>
          <w:u w:val="single"/>
        </w:rPr>
        <w:t>PORTFOLIO GUIDELINES</w:t>
      </w:r>
    </w:p>
    <w:p w:rsidR="001A6395" w:rsidRPr="00A34A18" w:rsidRDefault="001A6395" w:rsidP="00607B4C">
      <w:pPr>
        <w:rPr>
          <w:b/>
          <w:sz w:val="24"/>
          <w:szCs w:val="24"/>
          <w:u w:val="single"/>
        </w:rPr>
      </w:pPr>
    </w:p>
    <w:p w:rsidR="00607B4C" w:rsidRPr="00A34A18" w:rsidRDefault="00607B4C" w:rsidP="00607B4C">
      <w:pPr>
        <w:rPr>
          <w:sz w:val="24"/>
          <w:szCs w:val="24"/>
        </w:rPr>
      </w:pPr>
      <w:r w:rsidRPr="00A34A18">
        <w:rPr>
          <w:sz w:val="24"/>
          <w:szCs w:val="24"/>
        </w:rPr>
        <w:t xml:space="preserve">The guidelines below apply to investments in non-mutual or non-pooled funds, where the investment manager is able to utilize a separate account on a discretionary basis specifically for the Foundation.  The Foundation recognizes, however, that certain desired managers or strategies may only be available through a mutual-fund, pooled-fund or </w:t>
      </w:r>
      <w:r w:rsidR="001A6395" w:rsidRPr="00A34A18">
        <w:rPr>
          <w:sz w:val="24"/>
          <w:szCs w:val="24"/>
        </w:rPr>
        <w:t>“</w:t>
      </w:r>
      <w:r w:rsidRPr="00A34A18">
        <w:rPr>
          <w:sz w:val="24"/>
          <w:szCs w:val="24"/>
        </w:rPr>
        <w:t>fund of fund</w:t>
      </w:r>
      <w:r w:rsidR="001A6395" w:rsidRPr="00A34A18">
        <w:rPr>
          <w:sz w:val="24"/>
          <w:szCs w:val="24"/>
        </w:rPr>
        <w:t>s”</w:t>
      </w:r>
      <w:r w:rsidRPr="00A34A18">
        <w:rPr>
          <w:sz w:val="24"/>
          <w:szCs w:val="24"/>
        </w:rPr>
        <w:t xml:space="preserve"> arrangement.  In these instances, the Foundation recognizes that it cannot dictate policy to these particular arrangements</w:t>
      </w:r>
      <w:r w:rsidR="002055CE" w:rsidRPr="00A34A18">
        <w:rPr>
          <w:sz w:val="24"/>
          <w:szCs w:val="24"/>
        </w:rPr>
        <w:t>.</w:t>
      </w:r>
      <w:r w:rsidR="00197BB4" w:rsidRPr="00A34A18">
        <w:rPr>
          <w:sz w:val="24"/>
          <w:szCs w:val="24"/>
        </w:rPr>
        <w:t xml:space="preserve">  As such, </w:t>
      </w:r>
      <w:r w:rsidR="002055CE" w:rsidRPr="00A34A18">
        <w:rPr>
          <w:sz w:val="24"/>
          <w:szCs w:val="24"/>
        </w:rPr>
        <w:t>the Foundation</w:t>
      </w:r>
      <w:r w:rsidRPr="00A34A18">
        <w:rPr>
          <w:sz w:val="24"/>
          <w:szCs w:val="24"/>
        </w:rPr>
        <w:t xml:space="preserve"> shall instead strive to</w:t>
      </w:r>
      <w:r w:rsidR="001A6395" w:rsidRPr="00A34A18">
        <w:rPr>
          <w:sz w:val="24"/>
          <w:szCs w:val="24"/>
        </w:rPr>
        <w:t xml:space="preserve"> seek managers whose composite strategy, taken both as a whole and within the aggregate portfolio, fit within the overall guidelines of this policy statement.  </w:t>
      </w:r>
      <w:r w:rsidRPr="00A34A18">
        <w:rPr>
          <w:sz w:val="24"/>
          <w:szCs w:val="24"/>
        </w:rPr>
        <w:t xml:space="preserve"> </w:t>
      </w:r>
    </w:p>
    <w:p w:rsidR="001A6395" w:rsidRPr="00A34A18" w:rsidRDefault="001A6395" w:rsidP="00607B4C">
      <w:pPr>
        <w:rPr>
          <w:sz w:val="24"/>
          <w:szCs w:val="24"/>
        </w:rPr>
      </w:pPr>
    </w:p>
    <w:p w:rsidR="001A6395" w:rsidRPr="00A34A18" w:rsidRDefault="001A6395" w:rsidP="00607B4C">
      <w:pPr>
        <w:rPr>
          <w:sz w:val="24"/>
          <w:szCs w:val="24"/>
        </w:rPr>
      </w:pPr>
    </w:p>
    <w:p w:rsidR="003F266A" w:rsidRPr="00A34A18" w:rsidRDefault="00B80E04" w:rsidP="00F530CE">
      <w:pPr>
        <w:jc w:val="center"/>
        <w:rPr>
          <w:sz w:val="18"/>
          <w:szCs w:val="18"/>
        </w:rPr>
      </w:pPr>
      <w:r w:rsidRPr="00A34A18">
        <w:rPr>
          <w:b/>
          <w:i/>
          <w:sz w:val="24"/>
          <w:szCs w:val="24"/>
        </w:rPr>
        <w:t>Equity Guidelines</w:t>
      </w:r>
    </w:p>
    <w:p w:rsidR="003F266A" w:rsidRPr="00A34A18" w:rsidRDefault="003F266A">
      <w:pPr>
        <w:rPr>
          <w:sz w:val="18"/>
          <w:szCs w:val="24"/>
        </w:rPr>
      </w:pPr>
    </w:p>
    <w:p w:rsidR="00B80E04" w:rsidRPr="00A34A18" w:rsidRDefault="00B80E04" w:rsidP="00B80E04">
      <w:pPr>
        <w:ind w:left="2160" w:hanging="2160"/>
        <w:rPr>
          <w:sz w:val="24"/>
          <w:szCs w:val="24"/>
        </w:rPr>
      </w:pPr>
      <w:r w:rsidRPr="00A34A18">
        <w:rPr>
          <w:b/>
          <w:sz w:val="24"/>
          <w:szCs w:val="24"/>
        </w:rPr>
        <w:t>Types of Securities</w:t>
      </w:r>
      <w:r w:rsidRPr="00A34A18">
        <w:rPr>
          <w:b/>
          <w:sz w:val="24"/>
          <w:szCs w:val="24"/>
        </w:rPr>
        <w:tab/>
      </w:r>
      <w:r w:rsidRPr="00A34A18">
        <w:rPr>
          <w:sz w:val="24"/>
          <w:szCs w:val="24"/>
        </w:rPr>
        <w:t>Common and preferred stocks, issues convertible into common stocks, equity mutual funds</w:t>
      </w:r>
      <w:r w:rsidR="004F1A5A" w:rsidRPr="00A34A18">
        <w:rPr>
          <w:sz w:val="24"/>
          <w:szCs w:val="24"/>
        </w:rPr>
        <w:t>, index funds</w:t>
      </w:r>
      <w:r w:rsidRPr="00A34A18">
        <w:rPr>
          <w:sz w:val="24"/>
          <w:szCs w:val="24"/>
        </w:rPr>
        <w:t xml:space="preserve"> and exchange traded funds of both domestic and international corporations.</w:t>
      </w:r>
    </w:p>
    <w:p w:rsidR="00B80E04" w:rsidRPr="00A34A18" w:rsidRDefault="00B80E04" w:rsidP="00B80E04">
      <w:pPr>
        <w:ind w:left="2160" w:hanging="2160"/>
        <w:rPr>
          <w:sz w:val="24"/>
          <w:szCs w:val="24"/>
        </w:rPr>
      </w:pPr>
    </w:p>
    <w:p w:rsidR="004F1A5A" w:rsidRPr="00A34A18" w:rsidRDefault="00B80E04" w:rsidP="004F1A5A">
      <w:pPr>
        <w:ind w:left="2160" w:hanging="2160"/>
        <w:rPr>
          <w:sz w:val="24"/>
          <w:szCs w:val="24"/>
        </w:rPr>
      </w:pPr>
      <w:r w:rsidRPr="00A34A18">
        <w:rPr>
          <w:b/>
          <w:sz w:val="24"/>
          <w:szCs w:val="24"/>
        </w:rPr>
        <w:t>Diversification</w:t>
      </w:r>
      <w:r w:rsidRPr="00A34A18">
        <w:rPr>
          <w:b/>
          <w:sz w:val="24"/>
          <w:szCs w:val="24"/>
        </w:rPr>
        <w:tab/>
      </w:r>
      <w:r w:rsidRPr="00A34A18">
        <w:rPr>
          <w:sz w:val="24"/>
          <w:szCs w:val="24"/>
        </w:rPr>
        <w:t>The securities of any one equity issuer are limited to 10% at market value of total foundation equity assets</w:t>
      </w:r>
      <w:r w:rsidR="004F1A5A" w:rsidRPr="00A34A18">
        <w:rPr>
          <w:sz w:val="24"/>
          <w:szCs w:val="24"/>
        </w:rPr>
        <w:t xml:space="preserve">.  </w:t>
      </w:r>
    </w:p>
    <w:p w:rsidR="004F1A5A" w:rsidRPr="00A34A18" w:rsidRDefault="004F1A5A" w:rsidP="004F1A5A">
      <w:pPr>
        <w:ind w:left="2160" w:hanging="2160"/>
        <w:rPr>
          <w:b/>
          <w:sz w:val="24"/>
          <w:szCs w:val="24"/>
        </w:rPr>
      </w:pPr>
    </w:p>
    <w:p w:rsidR="00B80E04" w:rsidRPr="00A34A18" w:rsidRDefault="004F1A5A" w:rsidP="004F1A5A">
      <w:pPr>
        <w:ind w:left="2160" w:hanging="2160"/>
        <w:rPr>
          <w:sz w:val="24"/>
          <w:szCs w:val="24"/>
        </w:rPr>
      </w:pPr>
      <w:r w:rsidRPr="00A34A18">
        <w:rPr>
          <w:b/>
          <w:sz w:val="24"/>
          <w:szCs w:val="24"/>
        </w:rPr>
        <w:lastRenderedPageBreak/>
        <w:t>Quality</w:t>
      </w:r>
      <w:r w:rsidRPr="00A34A18">
        <w:rPr>
          <w:b/>
          <w:sz w:val="24"/>
          <w:szCs w:val="24"/>
        </w:rPr>
        <w:tab/>
      </w:r>
      <w:r w:rsidRPr="00A34A18">
        <w:rPr>
          <w:sz w:val="24"/>
          <w:szCs w:val="24"/>
        </w:rPr>
        <w:t>All securities held in the portfolio should be publicly traded and have sufficient marketability to permit prompt, orderly liquidation under normal circumstances.</w:t>
      </w:r>
      <w:r w:rsidR="00B80E04" w:rsidRPr="00A34A18">
        <w:rPr>
          <w:b/>
          <w:sz w:val="24"/>
          <w:szCs w:val="24"/>
        </w:rPr>
        <w:tab/>
      </w:r>
      <w:r w:rsidR="00B80E04" w:rsidRPr="00A34A18">
        <w:rPr>
          <w:sz w:val="24"/>
          <w:szCs w:val="24"/>
        </w:rPr>
        <w:t xml:space="preserve"> </w:t>
      </w:r>
    </w:p>
    <w:p w:rsidR="00F530CE" w:rsidRPr="00A34A18" w:rsidRDefault="00F530CE">
      <w:pPr>
        <w:rPr>
          <w:sz w:val="18"/>
          <w:szCs w:val="24"/>
        </w:rPr>
      </w:pPr>
    </w:p>
    <w:p w:rsidR="001A6395" w:rsidRPr="00A34A18" w:rsidRDefault="001A6395">
      <w:pPr>
        <w:rPr>
          <w:sz w:val="24"/>
          <w:szCs w:val="24"/>
        </w:rPr>
      </w:pPr>
      <w:r w:rsidRPr="00A34A18">
        <w:rPr>
          <w:sz w:val="24"/>
          <w:szCs w:val="24"/>
        </w:rPr>
        <w:t>Additionally, each equity manager shall:</w:t>
      </w:r>
    </w:p>
    <w:p w:rsidR="001A6395" w:rsidRPr="00A34A18" w:rsidRDefault="001A6395" w:rsidP="001A6395">
      <w:pPr>
        <w:numPr>
          <w:ilvl w:val="0"/>
          <w:numId w:val="6"/>
        </w:numPr>
        <w:rPr>
          <w:sz w:val="24"/>
          <w:szCs w:val="24"/>
        </w:rPr>
      </w:pPr>
      <w:r w:rsidRPr="00A34A18">
        <w:rPr>
          <w:sz w:val="24"/>
          <w:szCs w:val="24"/>
        </w:rPr>
        <w:t>Maintain adequate diversification by holding at least 20 different individual securities</w:t>
      </w:r>
    </w:p>
    <w:p w:rsidR="001A6395" w:rsidRPr="00A34A18" w:rsidRDefault="001A6395" w:rsidP="001A6395">
      <w:pPr>
        <w:numPr>
          <w:ilvl w:val="0"/>
          <w:numId w:val="6"/>
        </w:numPr>
        <w:rPr>
          <w:sz w:val="24"/>
          <w:szCs w:val="24"/>
        </w:rPr>
      </w:pPr>
      <w:r w:rsidRPr="00A34A18">
        <w:rPr>
          <w:sz w:val="24"/>
          <w:szCs w:val="24"/>
        </w:rPr>
        <w:t>Vote all proxies on behalf of the Foundation consistent with the best interest of the Foundation and its policies</w:t>
      </w:r>
    </w:p>
    <w:p w:rsidR="001A6395" w:rsidRPr="00A34A18" w:rsidRDefault="001A6395" w:rsidP="001A6395">
      <w:pPr>
        <w:numPr>
          <w:ilvl w:val="0"/>
          <w:numId w:val="6"/>
        </w:numPr>
        <w:rPr>
          <w:sz w:val="24"/>
          <w:szCs w:val="24"/>
        </w:rPr>
      </w:pPr>
      <w:r w:rsidRPr="00A34A18">
        <w:rPr>
          <w:sz w:val="24"/>
          <w:szCs w:val="24"/>
        </w:rPr>
        <w:t>Maintain appropriate diversification by investing no more than 50% of the portfolio within one particular economic sector</w:t>
      </w:r>
    </w:p>
    <w:p w:rsidR="001A6395" w:rsidRPr="00A34A18" w:rsidRDefault="001A6395" w:rsidP="001A6395">
      <w:pPr>
        <w:numPr>
          <w:ilvl w:val="0"/>
          <w:numId w:val="6"/>
        </w:numPr>
        <w:rPr>
          <w:sz w:val="24"/>
          <w:szCs w:val="24"/>
        </w:rPr>
      </w:pPr>
      <w:r w:rsidRPr="00A34A18">
        <w:rPr>
          <w:sz w:val="24"/>
          <w:szCs w:val="24"/>
        </w:rPr>
        <w:t>Make a reasonable effort as determined by the Board</w:t>
      </w:r>
      <w:r w:rsidR="00642D68" w:rsidRPr="00A34A18">
        <w:rPr>
          <w:sz w:val="24"/>
          <w:szCs w:val="24"/>
        </w:rPr>
        <w:t xml:space="preserve"> of Directors </w:t>
      </w:r>
      <w:r w:rsidRPr="00A34A18">
        <w:rPr>
          <w:sz w:val="24"/>
          <w:szCs w:val="24"/>
        </w:rPr>
        <w:t>to stay within the boundaries of the stated portfolio composition (e.g. avoid significant style drift).</w:t>
      </w:r>
    </w:p>
    <w:p w:rsidR="001A6395" w:rsidRPr="00A34A18" w:rsidRDefault="001A6395">
      <w:pPr>
        <w:rPr>
          <w:sz w:val="18"/>
          <w:szCs w:val="24"/>
        </w:rPr>
      </w:pPr>
    </w:p>
    <w:p w:rsidR="004F1A5A" w:rsidRPr="00A34A18" w:rsidRDefault="004F1A5A" w:rsidP="004F1A5A">
      <w:pPr>
        <w:jc w:val="center"/>
        <w:rPr>
          <w:b/>
          <w:i/>
          <w:sz w:val="24"/>
          <w:szCs w:val="24"/>
        </w:rPr>
      </w:pPr>
      <w:r w:rsidRPr="00A34A18">
        <w:rPr>
          <w:b/>
          <w:i/>
          <w:sz w:val="24"/>
          <w:szCs w:val="24"/>
        </w:rPr>
        <w:t>Fixed Income Guidelines</w:t>
      </w:r>
    </w:p>
    <w:p w:rsidR="00B869B0" w:rsidRPr="00A34A18" w:rsidRDefault="00B869B0" w:rsidP="00B869B0">
      <w:pPr>
        <w:pStyle w:val="BodyText"/>
        <w:spacing w:line="240" w:lineRule="auto"/>
        <w:rPr>
          <w:sz w:val="24"/>
          <w:szCs w:val="24"/>
        </w:rPr>
      </w:pPr>
    </w:p>
    <w:p w:rsidR="00A22B9E" w:rsidRPr="00A34A18" w:rsidRDefault="00A22B9E" w:rsidP="009752EE">
      <w:pPr>
        <w:pStyle w:val="BodyText"/>
        <w:spacing w:line="240" w:lineRule="auto"/>
        <w:jc w:val="left"/>
        <w:rPr>
          <w:sz w:val="24"/>
          <w:szCs w:val="24"/>
        </w:rPr>
      </w:pPr>
      <w:r w:rsidRPr="00A34A18">
        <w:rPr>
          <w:b/>
          <w:sz w:val="24"/>
          <w:szCs w:val="24"/>
        </w:rPr>
        <w:t>Types of Securities</w:t>
      </w:r>
      <w:r w:rsidRPr="00A34A18">
        <w:rPr>
          <w:b/>
          <w:sz w:val="24"/>
          <w:szCs w:val="24"/>
        </w:rPr>
        <w:tab/>
      </w:r>
      <w:r w:rsidRPr="00A34A18">
        <w:rPr>
          <w:sz w:val="24"/>
          <w:szCs w:val="24"/>
        </w:rPr>
        <w:t xml:space="preserve">U.S. Government and agency securities, </w:t>
      </w:r>
      <w:smartTag w:uri="urn:schemas-microsoft-com:office:smarttags" w:element="country-region">
        <w:smartTag w:uri="urn:schemas-microsoft-com:office:smarttags" w:element="place">
          <w:r w:rsidR="009752EE" w:rsidRPr="00A34A18">
            <w:rPr>
              <w:sz w:val="24"/>
              <w:szCs w:val="24"/>
            </w:rPr>
            <w:t>U.S.</w:t>
          </w:r>
        </w:smartTag>
      </w:smartTag>
      <w:r w:rsidR="009752EE" w:rsidRPr="00A34A18">
        <w:rPr>
          <w:sz w:val="24"/>
          <w:szCs w:val="24"/>
        </w:rPr>
        <w:t xml:space="preserve"> </w:t>
      </w:r>
      <w:r w:rsidRPr="00A34A18">
        <w:rPr>
          <w:sz w:val="24"/>
          <w:szCs w:val="24"/>
        </w:rPr>
        <w:t>corporate notes and bonds,</w:t>
      </w:r>
    </w:p>
    <w:p w:rsidR="00A22B9E" w:rsidRPr="00A34A18" w:rsidRDefault="00A22B9E" w:rsidP="009752EE">
      <w:pPr>
        <w:pStyle w:val="BodyText"/>
        <w:spacing w:line="240" w:lineRule="auto"/>
        <w:jc w:val="left"/>
        <w:rPr>
          <w:sz w:val="24"/>
          <w:szCs w:val="24"/>
        </w:rPr>
      </w:pPr>
      <w:r w:rsidRPr="00A34A18">
        <w:rPr>
          <w:sz w:val="24"/>
          <w:szCs w:val="24"/>
        </w:rPr>
        <w:tab/>
      </w:r>
      <w:r w:rsidRPr="00A34A18">
        <w:rPr>
          <w:sz w:val="24"/>
          <w:szCs w:val="24"/>
        </w:rPr>
        <w:tab/>
      </w:r>
      <w:r w:rsidRPr="00A34A18">
        <w:rPr>
          <w:sz w:val="24"/>
          <w:szCs w:val="24"/>
        </w:rPr>
        <w:tab/>
        <w:t xml:space="preserve">mortgage backed bonds, fixed income securities of foreign governments </w:t>
      </w:r>
    </w:p>
    <w:p w:rsidR="00A22B9E" w:rsidRPr="00A34A18" w:rsidRDefault="00A22B9E" w:rsidP="009752EE">
      <w:pPr>
        <w:pStyle w:val="BodyText"/>
        <w:spacing w:line="240" w:lineRule="auto"/>
        <w:ind w:left="2160"/>
        <w:jc w:val="left"/>
        <w:rPr>
          <w:sz w:val="24"/>
          <w:szCs w:val="24"/>
        </w:rPr>
      </w:pPr>
      <w:r w:rsidRPr="00A34A18">
        <w:rPr>
          <w:sz w:val="24"/>
          <w:szCs w:val="24"/>
        </w:rPr>
        <w:t>and corporations, certificates of deposit, money markets, stable value accounts, and commercial paper.</w:t>
      </w:r>
    </w:p>
    <w:p w:rsidR="00A22B9E" w:rsidRPr="00A34A18" w:rsidRDefault="00A22B9E" w:rsidP="009752EE">
      <w:pPr>
        <w:pStyle w:val="BodyText"/>
        <w:spacing w:line="240" w:lineRule="auto"/>
        <w:jc w:val="left"/>
        <w:rPr>
          <w:b/>
          <w:sz w:val="24"/>
          <w:szCs w:val="24"/>
        </w:rPr>
      </w:pPr>
    </w:p>
    <w:p w:rsidR="009752EE" w:rsidRPr="0052051C" w:rsidRDefault="00A22B9E" w:rsidP="009752EE">
      <w:pPr>
        <w:pStyle w:val="BodyText"/>
        <w:spacing w:line="240" w:lineRule="auto"/>
        <w:ind w:left="2160" w:hanging="2160"/>
        <w:jc w:val="left"/>
        <w:rPr>
          <w:strike/>
          <w:sz w:val="24"/>
          <w:szCs w:val="24"/>
        </w:rPr>
      </w:pPr>
      <w:r w:rsidRPr="00A34A18">
        <w:rPr>
          <w:b/>
          <w:sz w:val="24"/>
          <w:szCs w:val="24"/>
        </w:rPr>
        <w:t>Diversification</w:t>
      </w:r>
      <w:r w:rsidRPr="00A34A18">
        <w:rPr>
          <w:b/>
          <w:sz w:val="24"/>
          <w:szCs w:val="24"/>
        </w:rPr>
        <w:tab/>
      </w:r>
      <w:r w:rsidR="001C1922">
        <w:rPr>
          <w:noProof/>
          <w:sz w:val="24"/>
          <w:szCs w:val="24"/>
        </w:rPr>
        <mc:AlternateContent>
          <mc:Choice Requires="wps">
            <w:drawing>
              <wp:anchor distT="0" distB="0" distL="114300" distR="114300" simplePos="0" relativeHeight="251655680" behindDoc="1" locked="0" layoutInCell="0" allowOverlap="1">
                <wp:simplePos x="0" y="0"/>
                <wp:positionH relativeFrom="column">
                  <wp:posOffset>5303520</wp:posOffset>
                </wp:positionH>
                <wp:positionV relativeFrom="paragraph">
                  <wp:posOffset>21590</wp:posOffset>
                </wp:positionV>
                <wp:extent cx="640715" cy="183515"/>
                <wp:effectExtent l="0" t="2540" r="0" b="44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7.6pt;margin-top:1.7pt;width:50.4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" o:allowincell="f" filled="f" stroked="f" strokeweight="0"/>
            </w:pict>
          </mc:Fallback>
        </mc:AlternateContent>
      </w:r>
      <w:r w:rsidR="001C1922">
        <w:rPr>
          <w:noProof/>
          <w:sz w:val="24"/>
          <w:szCs w:val="24"/>
        </w:rPr>
        <mc:AlternateContent>
          <mc:Choice Requires="wps">
            <w:drawing>
              <wp:anchor distT="0" distB="0" distL="114300" distR="114300" simplePos="0" relativeHeight="251658752" behindDoc="1" locked="0" layoutInCell="0" allowOverlap="1">
                <wp:simplePos x="0" y="0"/>
                <wp:positionH relativeFrom="column">
                  <wp:posOffset>5120640</wp:posOffset>
                </wp:positionH>
                <wp:positionV relativeFrom="paragraph">
                  <wp:posOffset>113030</wp:posOffset>
                </wp:positionV>
                <wp:extent cx="823595" cy="213995"/>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3.2pt;margin-top:8.9pt;width:64.8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" o:allowincell="f" filled="f" stroked="f" strokeweight="0"/>
            </w:pict>
          </mc:Fallback>
        </mc:AlternateContent>
      </w:r>
      <w:r w:rsidR="001C1922">
        <w:rPr>
          <w:noProof/>
          <w:sz w:val="24"/>
          <w:szCs w:val="24"/>
        </w:rPr>
        <mc:AlternateContent>
          <mc:Choice Requires="wps">
            <w:drawing>
              <wp:anchor distT="0" distB="0" distL="114300" distR="114300" simplePos="0" relativeHeight="251656704" behindDoc="1" locked="0" layoutInCell="0" allowOverlap="1">
                <wp:simplePos x="0" y="0"/>
                <wp:positionH relativeFrom="column">
                  <wp:posOffset>1280160</wp:posOffset>
                </wp:positionH>
                <wp:positionV relativeFrom="paragraph">
                  <wp:posOffset>113030</wp:posOffset>
                </wp:positionV>
                <wp:extent cx="3841115" cy="213995"/>
                <wp:effectExtent l="3810" t="0" r="3175"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0.8pt;margin-top:8.9pt;width:302.4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" o:allowincell="f" filled="f" stroked="f" strokeweight="0"/>
            </w:pict>
          </mc:Fallback>
        </mc:AlternateContent>
      </w:r>
      <w:r w:rsidR="001C1922">
        <w:rPr>
          <w:noProof/>
          <w:sz w:val="24"/>
          <w:szCs w:val="24"/>
        </w:rPr>
        <mc:AlternateContent>
          <mc:Choice Requires="wps">
            <w:drawing>
              <wp:anchor distT="0" distB="0" distL="114300" distR="114300" simplePos="0" relativeHeight="251659776" behindDoc="1" locked="0" layoutInCell="0" allowOverlap="1">
                <wp:simplePos x="0" y="0"/>
                <wp:positionH relativeFrom="column">
                  <wp:posOffset>4114800</wp:posOffset>
                </wp:positionH>
                <wp:positionV relativeFrom="paragraph">
                  <wp:posOffset>143510</wp:posOffset>
                </wp:positionV>
                <wp:extent cx="366395" cy="183515"/>
                <wp:effectExtent l="0" t="635"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24pt;margin-top:11.3pt;width:28.8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" o:allowincell="f" filled="f" stroked="f" strokeweight="0"/>
            </w:pict>
          </mc:Fallback>
        </mc:AlternateContent>
      </w:r>
      <w:r w:rsidR="001C1922">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3566160</wp:posOffset>
                </wp:positionH>
                <wp:positionV relativeFrom="paragraph">
                  <wp:posOffset>113030</wp:posOffset>
                </wp:positionV>
                <wp:extent cx="366395" cy="183515"/>
                <wp:effectExtent l="3810" t="0" r="127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80.8pt;margin-top:8.9pt;width:28.8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" o:allowincell="f" filled="f" stroked="f" strokeweight="0"/>
            </w:pict>
          </mc:Fallback>
        </mc:AlternateContent>
      </w:r>
      <w:r w:rsidR="00B869B0" w:rsidRPr="00A34A18">
        <w:rPr>
          <w:sz w:val="24"/>
          <w:szCs w:val="24"/>
        </w:rPr>
        <w:t>No limitations are placed on investments i</w:t>
      </w:r>
      <w:r w:rsidR="007D29A3" w:rsidRPr="00A34A18">
        <w:rPr>
          <w:sz w:val="24"/>
          <w:szCs w:val="24"/>
        </w:rPr>
        <w:t>n U.S. Government or agency obligations.</w:t>
      </w:r>
      <w:r w:rsidR="009752EE" w:rsidRPr="00A34A18">
        <w:rPr>
          <w:sz w:val="24"/>
          <w:szCs w:val="24"/>
        </w:rPr>
        <w:t xml:space="preserve">  </w:t>
      </w:r>
      <w:r w:rsidR="00B869B0" w:rsidRPr="00A34A18">
        <w:rPr>
          <w:sz w:val="24"/>
          <w:szCs w:val="24"/>
        </w:rPr>
        <w:t xml:space="preserve">Investments in any one issuer, excluding obligations of the U.S. Government either direct or implied, shall not exceed five percent (5%) of total portfolio assets based on market </w:t>
      </w:r>
      <w:r w:rsidR="009752EE" w:rsidRPr="00A34A18">
        <w:rPr>
          <w:sz w:val="24"/>
          <w:szCs w:val="24"/>
        </w:rPr>
        <w:t>value at the time of purchase</w:t>
      </w:r>
      <w:r w:rsidR="009752EE" w:rsidRPr="00A34A18">
        <w:rPr>
          <w:sz w:val="24"/>
          <w:szCs w:val="24"/>
        </w:rPr>
        <w:softHyphen/>
      </w:r>
      <w:r w:rsidR="009752EE" w:rsidRPr="00A34A18">
        <w:rPr>
          <w:sz w:val="24"/>
          <w:szCs w:val="24"/>
        </w:rPr>
        <w:softHyphen/>
        <w:t xml:space="preserve">. </w:t>
      </w:r>
      <w:r w:rsidR="009752EE" w:rsidRPr="0042359B">
        <w:rPr>
          <w:sz w:val="24"/>
          <w:szCs w:val="24"/>
        </w:rPr>
        <w:t>International fixed income should not</w:t>
      </w:r>
      <w:r w:rsidR="003B51DF" w:rsidRPr="0042359B">
        <w:rPr>
          <w:sz w:val="24"/>
          <w:szCs w:val="24"/>
        </w:rPr>
        <w:t xml:space="preserve"> exceed </w:t>
      </w:r>
      <w:r w:rsidR="0042359B">
        <w:rPr>
          <w:sz w:val="24"/>
          <w:szCs w:val="24"/>
        </w:rPr>
        <w:t>10% of total portfolio assets.</w:t>
      </w:r>
    </w:p>
    <w:p w:rsidR="007B5171" w:rsidRPr="00A34A18" w:rsidRDefault="007B5171" w:rsidP="009752EE">
      <w:pPr>
        <w:keepNext/>
        <w:keepLines/>
        <w:jc w:val="both"/>
        <w:rPr>
          <w:sz w:val="24"/>
          <w:szCs w:val="24"/>
        </w:rPr>
      </w:pPr>
    </w:p>
    <w:p w:rsidR="009752EE" w:rsidRPr="00A34A18" w:rsidRDefault="009752EE" w:rsidP="009752EE">
      <w:pPr>
        <w:keepNext/>
        <w:keepLines/>
        <w:ind w:left="2160" w:hanging="2160"/>
        <w:rPr>
          <w:sz w:val="24"/>
          <w:szCs w:val="24"/>
        </w:rPr>
      </w:pPr>
      <w:r w:rsidRPr="00A34A18">
        <w:rPr>
          <w:b/>
          <w:sz w:val="24"/>
          <w:szCs w:val="24"/>
        </w:rPr>
        <w:t>Quality</w:t>
      </w:r>
      <w:r w:rsidRPr="00A34A18">
        <w:rPr>
          <w:b/>
          <w:sz w:val="24"/>
          <w:szCs w:val="24"/>
        </w:rPr>
        <w:tab/>
      </w:r>
      <w:r w:rsidR="0042359B" w:rsidRPr="0042359B">
        <w:rPr>
          <w:sz w:val="24"/>
          <w:szCs w:val="24"/>
        </w:rPr>
        <w:t>With respect to fixed income investments, for individual bonds, the minimum average credit quality of these investments shall be investment grade (Standard &amp; Poor’s BBB or Moody’s Baa or higher). High Yield investments should not exceed 5% of the Foundation’s total portfolio assets</w:t>
      </w:r>
      <w:r w:rsidR="0042359B" w:rsidRPr="0042359B">
        <w:rPr>
          <w:b/>
          <w:sz w:val="24"/>
          <w:szCs w:val="24"/>
        </w:rPr>
        <w:t>.</w:t>
      </w:r>
      <w:r w:rsidRPr="00A34A18">
        <w:rPr>
          <w:sz w:val="24"/>
          <w:szCs w:val="24"/>
        </w:rPr>
        <w:t xml:space="preserve">  Instruments purchased by a fixed income manager that decline to below investment grade status may be maintained at the discretion of the manager.  Money Market Funds selected shall contain securities whose credit rating at the absolute minimum would be rated investment grade by Standard and Poors, and/or Moody's.</w:t>
      </w:r>
    </w:p>
    <w:p w:rsidR="009752EE" w:rsidRPr="00A34A18" w:rsidRDefault="009752EE" w:rsidP="009752EE">
      <w:pPr>
        <w:keepNext/>
        <w:keepLines/>
        <w:jc w:val="both"/>
        <w:rPr>
          <w:b/>
          <w:sz w:val="24"/>
          <w:szCs w:val="24"/>
        </w:rPr>
      </w:pPr>
      <w:r w:rsidRPr="00A34A18">
        <w:rPr>
          <w:b/>
          <w:sz w:val="24"/>
          <w:szCs w:val="24"/>
        </w:rPr>
        <w:tab/>
      </w:r>
      <w:r w:rsidRPr="00A34A18">
        <w:rPr>
          <w:b/>
          <w:sz w:val="24"/>
          <w:szCs w:val="24"/>
        </w:rPr>
        <w:tab/>
      </w:r>
    </w:p>
    <w:p w:rsidR="00B869B0" w:rsidRPr="00A34A18" w:rsidRDefault="00FE2A62" w:rsidP="00FE2A62">
      <w:pPr>
        <w:keepNext/>
        <w:keepLines/>
        <w:ind w:left="2160" w:hanging="2160"/>
        <w:jc w:val="both"/>
        <w:rPr>
          <w:i/>
          <w:color w:val="FF0000"/>
          <w:sz w:val="24"/>
          <w:szCs w:val="24"/>
          <w:u w:val="single"/>
        </w:rPr>
      </w:pPr>
      <w:r w:rsidRPr="00A34A18">
        <w:rPr>
          <w:b/>
          <w:sz w:val="24"/>
          <w:szCs w:val="24"/>
        </w:rPr>
        <w:t>Duration</w:t>
      </w:r>
      <w:r w:rsidR="009752EE" w:rsidRPr="00A34A18">
        <w:rPr>
          <w:b/>
          <w:sz w:val="24"/>
          <w:szCs w:val="24"/>
        </w:rPr>
        <w:t xml:space="preserve"> </w:t>
      </w:r>
      <w:r w:rsidR="009752EE" w:rsidRPr="00A34A18">
        <w:rPr>
          <w:b/>
          <w:sz w:val="24"/>
          <w:szCs w:val="24"/>
        </w:rPr>
        <w:tab/>
      </w:r>
      <w:r w:rsidRPr="00A34A18">
        <w:rPr>
          <w:sz w:val="24"/>
          <w:szCs w:val="24"/>
        </w:rPr>
        <w:t>The duration of the portfolio should not be more than +/- two years of the duration of the Barclays Aggregate Bond Index.</w:t>
      </w:r>
    </w:p>
    <w:p w:rsidR="004F1A5A" w:rsidRPr="00A34A18" w:rsidRDefault="004F1A5A" w:rsidP="004F1A5A">
      <w:pPr>
        <w:jc w:val="center"/>
        <w:rPr>
          <w:b/>
          <w:i/>
          <w:color w:val="FF0000"/>
          <w:sz w:val="24"/>
          <w:szCs w:val="24"/>
        </w:rPr>
      </w:pPr>
    </w:p>
    <w:p w:rsidR="009752EE" w:rsidRPr="00A34A18" w:rsidRDefault="009752EE" w:rsidP="004F1A5A">
      <w:pPr>
        <w:jc w:val="center"/>
        <w:rPr>
          <w:b/>
          <w:i/>
          <w:sz w:val="24"/>
          <w:szCs w:val="24"/>
        </w:rPr>
      </w:pPr>
    </w:p>
    <w:p w:rsidR="00F530CE" w:rsidRPr="00A34A18" w:rsidRDefault="00F530CE" w:rsidP="00F530CE">
      <w:pPr>
        <w:jc w:val="center"/>
        <w:rPr>
          <w:b/>
          <w:i/>
          <w:sz w:val="24"/>
          <w:szCs w:val="24"/>
        </w:rPr>
      </w:pPr>
      <w:r w:rsidRPr="00A34A18">
        <w:rPr>
          <w:b/>
          <w:i/>
          <w:sz w:val="24"/>
          <w:szCs w:val="24"/>
        </w:rPr>
        <w:t>Alternative Investments</w:t>
      </w:r>
      <w:r w:rsidR="008C0534" w:rsidRPr="00A34A18">
        <w:rPr>
          <w:b/>
          <w:i/>
          <w:sz w:val="24"/>
          <w:szCs w:val="24"/>
        </w:rPr>
        <w:t xml:space="preserve"> Guidelines</w:t>
      </w:r>
    </w:p>
    <w:p w:rsidR="00F530CE" w:rsidRPr="00A34A18" w:rsidRDefault="00F530CE" w:rsidP="00F530CE">
      <w:pPr>
        <w:rPr>
          <w:sz w:val="24"/>
          <w:szCs w:val="24"/>
        </w:rPr>
      </w:pPr>
    </w:p>
    <w:p w:rsidR="00F530CE" w:rsidRPr="00A34A18" w:rsidRDefault="00F530CE" w:rsidP="00C84258">
      <w:pPr>
        <w:rPr>
          <w:sz w:val="24"/>
          <w:szCs w:val="24"/>
        </w:rPr>
      </w:pPr>
      <w:r w:rsidRPr="00A34A18">
        <w:rPr>
          <w:sz w:val="24"/>
          <w:szCs w:val="24"/>
        </w:rPr>
        <w:t xml:space="preserve">Alternative investments are generally used to define investments beyond traditional </w:t>
      </w:r>
      <w:r w:rsidR="004F1A5A" w:rsidRPr="00A34A18">
        <w:rPr>
          <w:sz w:val="24"/>
          <w:szCs w:val="24"/>
        </w:rPr>
        <w:t xml:space="preserve">equity or fixed income. </w:t>
      </w:r>
      <w:r w:rsidRPr="00A34A18">
        <w:rPr>
          <w:sz w:val="24"/>
          <w:szCs w:val="24"/>
        </w:rPr>
        <w:t xml:space="preserve"> </w:t>
      </w:r>
      <w:r w:rsidR="00C84258" w:rsidRPr="00A34A18">
        <w:rPr>
          <w:sz w:val="24"/>
          <w:szCs w:val="24"/>
        </w:rPr>
        <w:t xml:space="preserve">Alternative Investments involve investing in non-traditional asset classes and in traditional asset classes structured in a non-traditional manner.  </w:t>
      </w:r>
      <w:r w:rsidRPr="00A34A18">
        <w:rPr>
          <w:sz w:val="24"/>
          <w:szCs w:val="24"/>
        </w:rPr>
        <w:t>The asset class may include hedge funds (including fund of funds), managed futures, commodities, private equity, and real estate.  These positions may be utilized to provide additional diversification among the portfolio, as they have a historical</w:t>
      </w:r>
      <w:r w:rsidR="008C0534" w:rsidRPr="00A34A18">
        <w:rPr>
          <w:sz w:val="24"/>
          <w:szCs w:val="24"/>
        </w:rPr>
        <w:t>ly exhibited a</w:t>
      </w:r>
      <w:r w:rsidRPr="00A34A18">
        <w:rPr>
          <w:sz w:val="24"/>
          <w:szCs w:val="24"/>
        </w:rPr>
        <w:t xml:space="preserve"> low correlation to traditional investments.</w:t>
      </w:r>
      <w:r w:rsidR="008C0534" w:rsidRPr="00A34A18">
        <w:rPr>
          <w:sz w:val="24"/>
          <w:szCs w:val="24"/>
        </w:rPr>
        <w:t xml:space="preserve">  </w:t>
      </w:r>
    </w:p>
    <w:p w:rsidR="00835A95" w:rsidRPr="00A34A18" w:rsidRDefault="00835A95" w:rsidP="00F530CE">
      <w:pPr>
        <w:rPr>
          <w:sz w:val="24"/>
          <w:szCs w:val="24"/>
        </w:rPr>
      </w:pPr>
    </w:p>
    <w:p w:rsidR="00744E8B" w:rsidRPr="00A34A18" w:rsidRDefault="008C0534" w:rsidP="00F530CE">
      <w:pPr>
        <w:rPr>
          <w:sz w:val="24"/>
          <w:szCs w:val="24"/>
        </w:rPr>
      </w:pPr>
      <w:r w:rsidRPr="00A34A18">
        <w:rPr>
          <w:sz w:val="24"/>
          <w:szCs w:val="24"/>
        </w:rPr>
        <w:lastRenderedPageBreak/>
        <w:t>Careful attention to the historical risk profiles</w:t>
      </w:r>
      <w:r w:rsidR="005B70B3" w:rsidRPr="00A34A18">
        <w:rPr>
          <w:sz w:val="24"/>
          <w:szCs w:val="24"/>
        </w:rPr>
        <w:t xml:space="preserve">, </w:t>
      </w:r>
      <w:r w:rsidRPr="00A34A18">
        <w:rPr>
          <w:sz w:val="24"/>
          <w:szCs w:val="24"/>
        </w:rPr>
        <w:t>available liquidity provisions,</w:t>
      </w:r>
      <w:r w:rsidR="005B70B3" w:rsidRPr="00A34A18">
        <w:rPr>
          <w:sz w:val="24"/>
          <w:szCs w:val="24"/>
        </w:rPr>
        <w:t xml:space="preserve"> organizational stability</w:t>
      </w:r>
      <w:r w:rsidRPr="00A34A18">
        <w:rPr>
          <w:sz w:val="24"/>
          <w:szCs w:val="24"/>
        </w:rPr>
        <w:t xml:space="preserve"> </w:t>
      </w:r>
      <w:r w:rsidR="005B70B3" w:rsidRPr="00A34A18">
        <w:rPr>
          <w:sz w:val="24"/>
          <w:szCs w:val="24"/>
        </w:rPr>
        <w:t xml:space="preserve">and </w:t>
      </w:r>
      <w:r w:rsidRPr="00A34A18">
        <w:rPr>
          <w:sz w:val="24"/>
          <w:szCs w:val="24"/>
        </w:rPr>
        <w:t>overall performance record shall be among the criteria considered for inclusion</w:t>
      </w:r>
      <w:r w:rsidR="004749D1" w:rsidRPr="00A34A18">
        <w:rPr>
          <w:sz w:val="24"/>
          <w:szCs w:val="24"/>
        </w:rPr>
        <w:t xml:space="preserve"> in the foundation’s portfolio.  </w:t>
      </w:r>
    </w:p>
    <w:p w:rsidR="00744E8B" w:rsidRPr="00A34A18" w:rsidRDefault="00744E8B" w:rsidP="00F530CE">
      <w:pPr>
        <w:rPr>
          <w:sz w:val="24"/>
          <w:szCs w:val="24"/>
        </w:rPr>
      </w:pPr>
    </w:p>
    <w:p w:rsidR="00835A95" w:rsidRPr="00A34A18" w:rsidRDefault="00835A95" w:rsidP="008C0534">
      <w:pPr>
        <w:rPr>
          <w:sz w:val="24"/>
          <w:szCs w:val="24"/>
        </w:rPr>
      </w:pPr>
    </w:p>
    <w:p w:rsidR="00835A95" w:rsidRPr="00A34A18" w:rsidRDefault="00744E8B" w:rsidP="00744E8B">
      <w:pPr>
        <w:rPr>
          <w:b/>
          <w:sz w:val="24"/>
          <w:u w:val="single"/>
        </w:rPr>
      </w:pPr>
      <w:r w:rsidRPr="00A34A18">
        <w:rPr>
          <w:b/>
          <w:sz w:val="24"/>
          <w:u w:val="single"/>
        </w:rPr>
        <w:t>PERFORMANCE MEASURING AND MONITORING</w:t>
      </w:r>
    </w:p>
    <w:p w:rsidR="00835A95" w:rsidRPr="00A34A18" w:rsidRDefault="00835A95" w:rsidP="00835A95">
      <w:pPr>
        <w:jc w:val="center"/>
        <w:rPr>
          <w:b/>
          <w:i/>
          <w:sz w:val="24"/>
        </w:rPr>
      </w:pPr>
    </w:p>
    <w:p w:rsidR="00835A95" w:rsidRPr="00A34A18" w:rsidRDefault="00835A95" w:rsidP="00835A95">
      <w:pPr>
        <w:rPr>
          <w:sz w:val="24"/>
          <w:szCs w:val="24"/>
        </w:rPr>
      </w:pPr>
      <w:r w:rsidRPr="00A34A18">
        <w:rPr>
          <w:sz w:val="24"/>
          <w:szCs w:val="24"/>
        </w:rPr>
        <w:t xml:space="preserve">Standards used to measure investment performance will be set forth in context with the established objectives.  Each standard shall apply independently to the portfolio of each investment manager and are expected to be achieved </w:t>
      </w:r>
      <w:r w:rsidRPr="00A34A18">
        <w:rPr>
          <w:b/>
          <w:i/>
          <w:sz w:val="24"/>
          <w:szCs w:val="24"/>
          <w:u w:val="single"/>
        </w:rPr>
        <w:t>net</w:t>
      </w:r>
      <w:r w:rsidRPr="00A34A18">
        <w:rPr>
          <w:sz w:val="24"/>
          <w:szCs w:val="24"/>
        </w:rPr>
        <w:t xml:space="preserve"> of investment management fees and expenses.</w:t>
      </w:r>
    </w:p>
    <w:p w:rsidR="00835A95" w:rsidRPr="00A34A18" w:rsidRDefault="00835A95" w:rsidP="00835A95">
      <w:pPr>
        <w:rPr>
          <w:sz w:val="24"/>
          <w:szCs w:val="24"/>
        </w:rPr>
      </w:pPr>
    </w:p>
    <w:p w:rsidR="00835A95" w:rsidRPr="00A34A18" w:rsidRDefault="00744E8B" w:rsidP="00744E8B">
      <w:pPr>
        <w:jc w:val="center"/>
        <w:rPr>
          <w:b/>
          <w:i/>
          <w:sz w:val="24"/>
          <w:szCs w:val="24"/>
        </w:rPr>
      </w:pPr>
      <w:r w:rsidRPr="00A34A18">
        <w:rPr>
          <w:b/>
          <w:i/>
          <w:sz w:val="24"/>
          <w:szCs w:val="24"/>
        </w:rPr>
        <w:t>Equity Managers</w:t>
      </w:r>
    </w:p>
    <w:p w:rsidR="00744E8B" w:rsidRPr="00A34A18" w:rsidRDefault="00744E8B" w:rsidP="00744E8B">
      <w:pPr>
        <w:jc w:val="center"/>
        <w:rPr>
          <w:b/>
          <w:i/>
          <w:sz w:val="24"/>
          <w:szCs w:val="24"/>
        </w:rPr>
      </w:pPr>
    </w:p>
    <w:p w:rsidR="00835A95" w:rsidRPr="00A34A18" w:rsidRDefault="00835A95" w:rsidP="00C84258">
      <w:pPr>
        <w:numPr>
          <w:ilvl w:val="0"/>
          <w:numId w:val="4"/>
        </w:numPr>
        <w:rPr>
          <w:i/>
          <w:color w:val="FF0000"/>
          <w:sz w:val="24"/>
          <w:szCs w:val="24"/>
        </w:rPr>
      </w:pPr>
      <w:r w:rsidRPr="00A34A18">
        <w:rPr>
          <w:sz w:val="24"/>
          <w:szCs w:val="24"/>
        </w:rPr>
        <w:t>Over rolling one, three</w:t>
      </w:r>
      <w:r w:rsidR="00C84258" w:rsidRPr="00A34A18">
        <w:rPr>
          <w:sz w:val="24"/>
          <w:szCs w:val="24"/>
        </w:rPr>
        <w:t>, five-year periods (and longer where applicable)</w:t>
      </w:r>
      <w:r w:rsidRPr="00A34A18">
        <w:rPr>
          <w:sz w:val="24"/>
          <w:szCs w:val="24"/>
        </w:rPr>
        <w:t xml:space="preserve">, with emphasis given to longer term results, the performance of the composite equity portion of the Foundation’s assets </w:t>
      </w:r>
      <w:r w:rsidR="00374E25" w:rsidRPr="00A34A18">
        <w:rPr>
          <w:sz w:val="24"/>
          <w:szCs w:val="24"/>
        </w:rPr>
        <w:t xml:space="preserve">shall be measured against </w:t>
      </w:r>
      <w:r w:rsidRPr="00A34A18">
        <w:rPr>
          <w:sz w:val="24"/>
          <w:szCs w:val="24"/>
        </w:rPr>
        <w:t>the retur</w:t>
      </w:r>
      <w:r w:rsidR="00AF5A0C" w:rsidRPr="00A34A18">
        <w:rPr>
          <w:sz w:val="24"/>
          <w:szCs w:val="24"/>
        </w:rPr>
        <w:t xml:space="preserve">n of an appropriate benchmark.  This benchmark shall consist by the Board of Directors, this benchmark shall consist of: 80% </w:t>
      </w:r>
      <w:r w:rsidR="00744E8B" w:rsidRPr="00A34A18">
        <w:rPr>
          <w:sz w:val="24"/>
          <w:szCs w:val="24"/>
        </w:rPr>
        <w:t xml:space="preserve">Russell 3000 and </w:t>
      </w:r>
      <w:r w:rsidR="00AF5A0C" w:rsidRPr="00A34A18">
        <w:rPr>
          <w:sz w:val="24"/>
          <w:szCs w:val="24"/>
        </w:rPr>
        <w:t xml:space="preserve">20% MSCI EAFE. </w:t>
      </w:r>
      <w:r w:rsidR="00744E8B" w:rsidRPr="00A34A18">
        <w:rPr>
          <w:i/>
          <w:color w:val="FF0000"/>
          <w:sz w:val="24"/>
          <w:szCs w:val="24"/>
        </w:rPr>
        <w:t xml:space="preserve"> </w:t>
      </w:r>
    </w:p>
    <w:p w:rsidR="00744E8B" w:rsidRPr="00A34A18" w:rsidRDefault="00744E8B" w:rsidP="00C84258">
      <w:pPr>
        <w:ind w:left="360"/>
        <w:rPr>
          <w:sz w:val="24"/>
          <w:szCs w:val="24"/>
        </w:rPr>
      </w:pPr>
    </w:p>
    <w:p w:rsidR="00835A95" w:rsidRPr="00A34A18" w:rsidRDefault="00835A95" w:rsidP="00835A95">
      <w:pPr>
        <w:numPr>
          <w:ilvl w:val="0"/>
          <w:numId w:val="4"/>
        </w:numPr>
        <w:rPr>
          <w:sz w:val="24"/>
          <w:szCs w:val="24"/>
        </w:rPr>
      </w:pPr>
      <w:r w:rsidRPr="00A34A18">
        <w:rPr>
          <w:sz w:val="24"/>
          <w:szCs w:val="24"/>
        </w:rPr>
        <w:t>Additionally, over rolling one, three and five-year periods</w:t>
      </w:r>
      <w:r w:rsidR="00744E8B" w:rsidRPr="00A34A18">
        <w:rPr>
          <w:sz w:val="24"/>
          <w:szCs w:val="24"/>
        </w:rPr>
        <w:t xml:space="preserve"> (and longer where applicable)</w:t>
      </w:r>
      <w:r w:rsidRPr="00A34A18">
        <w:rPr>
          <w:sz w:val="24"/>
          <w:szCs w:val="24"/>
        </w:rPr>
        <w:t>, the performance of each individual equity manager sh</w:t>
      </w:r>
      <w:r w:rsidR="00374E25" w:rsidRPr="00A34A18">
        <w:rPr>
          <w:sz w:val="24"/>
          <w:szCs w:val="24"/>
        </w:rPr>
        <w:t xml:space="preserve">all be measured against the </w:t>
      </w:r>
      <w:r w:rsidRPr="00A34A18">
        <w:rPr>
          <w:sz w:val="24"/>
          <w:szCs w:val="24"/>
        </w:rPr>
        <w:t>return of their appropriate</w:t>
      </w:r>
      <w:r w:rsidR="00744E8B" w:rsidRPr="00A34A18">
        <w:rPr>
          <w:sz w:val="24"/>
          <w:szCs w:val="24"/>
        </w:rPr>
        <w:t xml:space="preserve"> target </w:t>
      </w:r>
      <w:r w:rsidRPr="00A34A18">
        <w:rPr>
          <w:sz w:val="24"/>
          <w:szCs w:val="24"/>
        </w:rPr>
        <w:t xml:space="preserve">market index, based upon the manager’s asset class and style.   </w:t>
      </w:r>
    </w:p>
    <w:p w:rsidR="00835A95" w:rsidRPr="00A34A18" w:rsidRDefault="00835A95" w:rsidP="00835A95">
      <w:pPr>
        <w:rPr>
          <w:b/>
          <w:sz w:val="24"/>
          <w:szCs w:val="24"/>
          <w:u w:val="single"/>
        </w:rPr>
      </w:pPr>
    </w:p>
    <w:p w:rsidR="00835A95" w:rsidRPr="00A34A18" w:rsidRDefault="00835A95" w:rsidP="00835A95">
      <w:pPr>
        <w:rPr>
          <w:b/>
          <w:sz w:val="24"/>
          <w:szCs w:val="24"/>
          <w:u w:val="single"/>
        </w:rPr>
      </w:pPr>
    </w:p>
    <w:p w:rsidR="00835A95" w:rsidRPr="00A34A18" w:rsidRDefault="00744E8B" w:rsidP="00744E8B">
      <w:pPr>
        <w:jc w:val="center"/>
        <w:rPr>
          <w:b/>
          <w:i/>
          <w:sz w:val="24"/>
          <w:szCs w:val="24"/>
        </w:rPr>
      </w:pPr>
      <w:r w:rsidRPr="00A34A18">
        <w:rPr>
          <w:b/>
          <w:i/>
          <w:sz w:val="24"/>
          <w:szCs w:val="24"/>
        </w:rPr>
        <w:t>Fixed Income Managers</w:t>
      </w:r>
    </w:p>
    <w:p w:rsidR="00835A95" w:rsidRPr="00A34A18" w:rsidRDefault="00835A95" w:rsidP="00835A95">
      <w:pPr>
        <w:rPr>
          <w:sz w:val="24"/>
          <w:szCs w:val="24"/>
        </w:rPr>
      </w:pPr>
    </w:p>
    <w:p w:rsidR="00835A95" w:rsidRPr="00A34A18" w:rsidRDefault="00835A95" w:rsidP="00835A95">
      <w:pPr>
        <w:numPr>
          <w:ilvl w:val="12"/>
          <w:numId w:val="0"/>
        </w:numPr>
        <w:ind w:left="360" w:hanging="360"/>
        <w:rPr>
          <w:sz w:val="24"/>
          <w:szCs w:val="24"/>
        </w:rPr>
      </w:pPr>
      <w:r w:rsidRPr="00A34A18">
        <w:rPr>
          <w:sz w:val="24"/>
          <w:szCs w:val="24"/>
        </w:rPr>
        <w:t>1.</w:t>
      </w:r>
      <w:r w:rsidRPr="00A34A18">
        <w:rPr>
          <w:sz w:val="24"/>
          <w:szCs w:val="24"/>
        </w:rPr>
        <w:tab/>
      </w:r>
      <w:r w:rsidR="007D29A3" w:rsidRPr="00A34A18">
        <w:rPr>
          <w:sz w:val="24"/>
          <w:szCs w:val="24"/>
        </w:rPr>
        <w:t xml:space="preserve">Over rolling one, three and five-year periods, the performance of the fixed income portfolio shall be measured against </w:t>
      </w:r>
      <w:r w:rsidR="006A2AEB" w:rsidRPr="00A34A18">
        <w:rPr>
          <w:sz w:val="24"/>
          <w:szCs w:val="24"/>
        </w:rPr>
        <w:t xml:space="preserve">an appropriate benchmark.  Initially, this shall consist of the </w:t>
      </w:r>
      <w:r w:rsidR="00744E8B" w:rsidRPr="00A34A18">
        <w:rPr>
          <w:sz w:val="24"/>
          <w:szCs w:val="24"/>
        </w:rPr>
        <w:t>Barclays Aggregate Bond Index</w:t>
      </w:r>
      <w:r w:rsidR="006A2AEB" w:rsidRPr="00A34A18">
        <w:rPr>
          <w:sz w:val="24"/>
          <w:szCs w:val="24"/>
        </w:rPr>
        <w:t>.</w:t>
      </w:r>
    </w:p>
    <w:p w:rsidR="006A2AEB" w:rsidRPr="00A34A18" w:rsidRDefault="006A2AEB" w:rsidP="00835A95">
      <w:pPr>
        <w:numPr>
          <w:ilvl w:val="12"/>
          <w:numId w:val="0"/>
        </w:numPr>
        <w:ind w:left="360" w:hanging="360"/>
        <w:rPr>
          <w:sz w:val="24"/>
          <w:szCs w:val="24"/>
        </w:rPr>
      </w:pPr>
    </w:p>
    <w:p w:rsidR="006A2AEB" w:rsidRPr="00A34A18" w:rsidRDefault="006A2AEB" w:rsidP="00835A95">
      <w:pPr>
        <w:numPr>
          <w:ilvl w:val="12"/>
          <w:numId w:val="0"/>
        </w:numPr>
        <w:ind w:left="360" w:hanging="360"/>
        <w:rPr>
          <w:sz w:val="24"/>
          <w:szCs w:val="24"/>
        </w:rPr>
      </w:pPr>
      <w:r w:rsidRPr="00A34A18">
        <w:rPr>
          <w:sz w:val="24"/>
          <w:szCs w:val="24"/>
        </w:rPr>
        <w:t>2.  Additionally, over rolling one, three and five-year periods, the performance of each individual fixed income manager shall be measured against the return of their appropriate market index, based upon the manager’s asset class and style.</w:t>
      </w:r>
    </w:p>
    <w:p w:rsidR="00374E25" w:rsidRPr="00A34A18" w:rsidRDefault="00374E25" w:rsidP="00835A95">
      <w:pPr>
        <w:numPr>
          <w:ilvl w:val="12"/>
          <w:numId w:val="0"/>
        </w:numPr>
        <w:ind w:left="360" w:hanging="360"/>
        <w:rPr>
          <w:sz w:val="24"/>
          <w:szCs w:val="24"/>
        </w:rPr>
      </w:pPr>
    </w:p>
    <w:p w:rsidR="00744E8B" w:rsidRPr="00A34A18" w:rsidRDefault="00744E8B" w:rsidP="00744E8B">
      <w:pPr>
        <w:numPr>
          <w:ilvl w:val="12"/>
          <w:numId w:val="0"/>
        </w:numPr>
        <w:jc w:val="center"/>
        <w:rPr>
          <w:b/>
          <w:i/>
          <w:sz w:val="24"/>
          <w:szCs w:val="24"/>
        </w:rPr>
      </w:pPr>
      <w:r w:rsidRPr="00A34A18">
        <w:rPr>
          <w:b/>
          <w:i/>
          <w:sz w:val="24"/>
          <w:szCs w:val="24"/>
        </w:rPr>
        <w:t>Comprehensive Portfolio</w:t>
      </w:r>
    </w:p>
    <w:p w:rsidR="00B76D57" w:rsidRPr="00A34A18" w:rsidRDefault="00C220F3" w:rsidP="00F14BC6">
      <w:pPr>
        <w:rPr>
          <w:sz w:val="24"/>
          <w:szCs w:val="24"/>
        </w:rPr>
      </w:pPr>
      <w:r w:rsidRPr="00A34A18">
        <w:rPr>
          <w:sz w:val="24"/>
          <w:szCs w:val="24"/>
        </w:rPr>
        <w:t>The Comprehensive Investment Portfolio of the Foundation</w:t>
      </w:r>
      <w:r w:rsidR="00AF5A0C" w:rsidRPr="00A34A18">
        <w:rPr>
          <w:sz w:val="24"/>
          <w:szCs w:val="24"/>
        </w:rPr>
        <w:t>’s Endowed Assets</w:t>
      </w:r>
      <w:r w:rsidRPr="00A34A18">
        <w:rPr>
          <w:sz w:val="24"/>
          <w:szCs w:val="24"/>
        </w:rPr>
        <w:t xml:space="preserve"> (defined as the various investment accounts of the Foundation excluding locally held certificates of deposit and non-publicly traded real estate holding</w:t>
      </w:r>
      <w:r w:rsidR="00F14BC6" w:rsidRPr="00A34A18">
        <w:rPr>
          <w:sz w:val="24"/>
          <w:szCs w:val="24"/>
        </w:rPr>
        <w:t>s) will be benchmarked against</w:t>
      </w:r>
      <w:r w:rsidR="00B76D57" w:rsidRPr="00A34A18">
        <w:rPr>
          <w:sz w:val="24"/>
          <w:szCs w:val="24"/>
        </w:rPr>
        <w:t xml:space="preserve"> a broad benchmark designed to approximate the strategic targets of the Foundation’s asset allocation. </w:t>
      </w:r>
    </w:p>
    <w:p w:rsidR="00B76D57" w:rsidRPr="00A34A18" w:rsidRDefault="00B76D57" w:rsidP="00F14BC6">
      <w:pPr>
        <w:rPr>
          <w:sz w:val="24"/>
          <w:szCs w:val="24"/>
        </w:rPr>
      </w:pPr>
    </w:p>
    <w:p w:rsidR="00B76D57" w:rsidRPr="00A34A18" w:rsidRDefault="00B76D57" w:rsidP="00F14BC6">
      <w:pPr>
        <w:rPr>
          <w:sz w:val="24"/>
          <w:szCs w:val="24"/>
        </w:rPr>
      </w:pPr>
      <w:r w:rsidRPr="00A34A18">
        <w:rPr>
          <w:sz w:val="24"/>
          <w:szCs w:val="24"/>
        </w:rPr>
        <w:t>As of the current targets, the following benchmark will be applied</w:t>
      </w:r>
      <w:r w:rsidR="00F14BC6" w:rsidRPr="00A34A18">
        <w:rPr>
          <w:sz w:val="24"/>
          <w:szCs w:val="24"/>
        </w:rPr>
        <w:t>:</w:t>
      </w:r>
      <w:r w:rsidR="00F14BC6" w:rsidRPr="00A34A18">
        <w:rPr>
          <w:sz w:val="24"/>
          <w:szCs w:val="24"/>
        </w:rPr>
        <w:tab/>
      </w:r>
    </w:p>
    <w:p w:rsidR="00F14BC6" w:rsidRPr="00A34A18" w:rsidRDefault="00F14BC6" w:rsidP="00B76D57">
      <w:pPr>
        <w:ind w:left="2880" w:firstLine="720"/>
        <w:rPr>
          <w:sz w:val="24"/>
          <w:szCs w:val="24"/>
        </w:rPr>
      </w:pPr>
      <w:r w:rsidRPr="00A34A18">
        <w:rPr>
          <w:sz w:val="24"/>
          <w:szCs w:val="24"/>
        </w:rPr>
        <w:t>45% Russell 3000</w:t>
      </w:r>
    </w:p>
    <w:p w:rsidR="00F14BC6" w:rsidRPr="00A34A18" w:rsidRDefault="00F14BC6" w:rsidP="00C220F3">
      <w:pPr>
        <w:rPr>
          <w:sz w:val="24"/>
          <w:szCs w:val="24"/>
        </w:rPr>
      </w:pPr>
      <w:r w:rsidRPr="00A34A18">
        <w:rPr>
          <w:sz w:val="24"/>
          <w:szCs w:val="24"/>
        </w:rPr>
        <w:tab/>
      </w:r>
      <w:r w:rsidRPr="00A34A18">
        <w:rPr>
          <w:sz w:val="24"/>
          <w:szCs w:val="24"/>
        </w:rPr>
        <w:tab/>
      </w:r>
      <w:r w:rsidR="00B76D57" w:rsidRPr="00A34A18">
        <w:rPr>
          <w:sz w:val="24"/>
          <w:szCs w:val="24"/>
        </w:rPr>
        <w:tab/>
      </w:r>
      <w:r w:rsidR="00B76D57" w:rsidRPr="00A34A18">
        <w:rPr>
          <w:sz w:val="24"/>
          <w:szCs w:val="24"/>
        </w:rPr>
        <w:tab/>
      </w:r>
      <w:r w:rsidR="00B76D57" w:rsidRPr="00A34A18">
        <w:rPr>
          <w:sz w:val="24"/>
          <w:szCs w:val="24"/>
        </w:rPr>
        <w:tab/>
        <w:t>1</w:t>
      </w:r>
      <w:r w:rsidRPr="00A34A18">
        <w:rPr>
          <w:sz w:val="24"/>
          <w:szCs w:val="24"/>
        </w:rPr>
        <w:t>5% MSCI EAFE</w:t>
      </w:r>
    </w:p>
    <w:p w:rsidR="00F14BC6" w:rsidRPr="00A34A18" w:rsidRDefault="00F14BC6" w:rsidP="00C220F3">
      <w:pPr>
        <w:rPr>
          <w:sz w:val="24"/>
          <w:szCs w:val="24"/>
        </w:rPr>
      </w:pPr>
      <w:r w:rsidRPr="00A34A18">
        <w:rPr>
          <w:sz w:val="24"/>
          <w:szCs w:val="24"/>
        </w:rPr>
        <w:tab/>
      </w:r>
      <w:r w:rsidRPr="00A34A18">
        <w:rPr>
          <w:sz w:val="24"/>
          <w:szCs w:val="24"/>
        </w:rPr>
        <w:tab/>
      </w:r>
      <w:r w:rsidR="00B76D57" w:rsidRPr="00A34A18">
        <w:rPr>
          <w:sz w:val="24"/>
          <w:szCs w:val="24"/>
        </w:rPr>
        <w:tab/>
      </w:r>
      <w:r w:rsidR="00B76D57" w:rsidRPr="00A34A18">
        <w:rPr>
          <w:sz w:val="24"/>
          <w:szCs w:val="24"/>
        </w:rPr>
        <w:tab/>
      </w:r>
      <w:r w:rsidR="00B76D57" w:rsidRPr="00A34A18">
        <w:rPr>
          <w:sz w:val="24"/>
          <w:szCs w:val="24"/>
        </w:rPr>
        <w:tab/>
        <w:t>3</w:t>
      </w:r>
      <w:r w:rsidRPr="00A34A18">
        <w:rPr>
          <w:sz w:val="24"/>
          <w:szCs w:val="24"/>
        </w:rPr>
        <w:t>5% Barclay’s Aggregate Bond Index</w:t>
      </w:r>
    </w:p>
    <w:p w:rsidR="00374E25" w:rsidRPr="00A34A18" w:rsidRDefault="00F14BC6" w:rsidP="00C220F3">
      <w:pPr>
        <w:rPr>
          <w:sz w:val="24"/>
          <w:szCs w:val="24"/>
        </w:rPr>
      </w:pPr>
      <w:r w:rsidRPr="00A34A18">
        <w:rPr>
          <w:sz w:val="24"/>
          <w:szCs w:val="24"/>
        </w:rPr>
        <w:tab/>
      </w:r>
      <w:r w:rsidRPr="00A34A18">
        <w:rPr>
          <w:sz w:val="24"/>
          <w:szCs w:val="24"/>
        </w:rPr>
        <w:tab/>
      </w:r>
      <w:r w:rsidR="00B76D57" w:rsidRPr="00A34A18">
        <w:rPr>
          <w:sz w:val="24"/>
          <w:szCs w:val="24"/>
        </w:rPr>
        <w:tab/>
      </w:r>
      <w:r w:rsidR="00B76D57" w:rsidRPr="00A34A18">
        <w:rPr>
          <w:sz w:val="24"/>
          <w:szCs w:val="24"/>
        </w:rPr>
        <w:tab/>
      </w:r>
      <w:r w:rsidR="00B76D57" w:rsidRPr="00A34A18">
        <w:rPr>
          <w:sz w:val="24"/>
          <w:szCs w:val="24"/>
        </w:rPr>
        <w:tab/>
      </w:r>
      <w:r w:rsidRPr="00A34A18">
        <w:rPr>
          <w:sz w:val="24"/>
          <w:szCs w:val="24"/>
        </w:rPr>
        <w:t>5%  US-Tbill</w:t>
      </w:r>
      <w:r w:rsidR="00C220F3" w:rsidRPr="00A34A18">
        <w:rPr>
          <w:sz w:val="24"/>
          <w:szCs w:val="24"/>
        </w:rPr>
        <w:t xml:space="preserve"> </w:t>
      </w:r>
    </w:p>
    <w:p w:rsidR="00F93CB6" w:rsidRPr="00A34A18" w:rsidRDefault="00F93CB6" w:rsidP="00374E25">
      <w:pPr>
        <w:jc w:val="center"/>
        <w:rPr>
          <w:sz w:val="26"/>
          <w:szCs w:val="26"/>
        </w:rPr>
      </w:pPr>
    </w:p>
    <w:p w:rsidR="00F14BC6" w:rsidRPr="00A34A18" w:rsidRDefault="00F14BC6" w:rsidP="00374E25">
      <w:pPr>
        <w:jc w:val="center"/>
        <w:rPr>
          <w:sz w:val="26"/>
          <w:szCs w:val="26"/>
        </w:rPr>
      </w:pPr>
    </w:p>
    <w:p w:rsidR="00F14BC6" w:rsidRPr="00A34A18" w:rsidRDefault="00F14BC6" w:rsidP="00374E25">
      <w:pPr>
        <w:jc w:val="center"/>
        <w:rPr>
          <w:sz w:val="26"/>
          <w:szCs w:val="26"/>
        </w:rPr>
      </w:pPr>
    </w:p>
    <w:p w:rsidR="00835A95" w:rsidRPr="00A34A18" w:rsidRDefault="00835A95" w:rsidP="00835A95">
      <w:pPr>
        <w:rPr>
          <w:sz w:val="24"/>
          <w:szCs w:val="24"/>
        </w:rPr>
      </w:pPr>
      <w:r w:rsidRPr="00A34A18">
        <w:rPr>
          <w:sz w:val="24"/>
          <w:szCs w:val="24"/>
        </w:rPr>
        <w:lastRenderedPageBreak/>
        <w:t xml:space="preserve">Performance (net of fees) of all equity managers shall be provided to the Foundation on a quarterly basis by the investment consultant or the respective managers.  These reports shall contain quarterly, yearly and rolling period comparisons of each manager against </w:t>
      </w:r>
      <w:r w:rsidR="00F93CB6" w:rsidRPr="00A34A18">
        <w:rPr>
          <w:sz w:val="24"/>
          <w:szCs w:val="24"/>
        </w:rPr>
        <w:t xml:space="preserve">their </w:t>
      </w:r>
      <w:r w:rsidRPr="00A34A18">
        <w:rPr>
          <w:sz w:val="24"/>
          <w:szCs w:val="24"/>
        </w:rPr>
        <w:t xml:space="preserve">relevant market benchmark(s).  </w:t>
      </w:r>
    </w:p>
    <w:p w:rsidR="00835A95" w:rsidRPr="00A34A18" w:rsidRDefault="00835A95" w:rsidP="006A2AEB">
      <w:pPr>
        <w:jc w:val="center"/>
        <w:rPr>
          <w:sz w:val="24"/>
          <w:szCs w:val="24"/>
        </w:rPr>
      </w:pPr>
    </w:p>
    <w:p w:rsidR="006A2AEB" w:rsidRPr="00A34A18" w:rsidRDefault="006A2AEB" w:rsidP="006A2AEB">
      <w:pPr>
        <w:rPr>
          <w:b/>
          <w:i/>
          <w:sz w:val="24"/>
          <w:szCs w:val="24"/>
        </w:rPr>
      </w:pPr>
    </w:p>
    <w:p w:rsidR="00F14BC6" w:rsidRPr="00A34A18" w:rsidRDefault="00F14BC6" w:rsidP="006A2AEB">
      <w:pPr>
        <w:rPr>
          <w:b/>
          <w:i/>
          <w:sz w:val="24"/>
          <w:szCs w:val="24"/>
        </w:rPr>
      </w:pPr>
    </w:p>
    <w:p w:rsidR="00F14BC6" w:rsidRPr="00A34A18" w:rsidRDefault="00F14BC6" w:rsidP="006A2AEB">
      <w:pPr>
        <w:rPr>
          <w:b/>
          <w:sz w:val="24"/>
          <w:szCs w:val="24"/>
        </w:rPr>
      </w:pPr>
      <w:r w:rsidRPr="00A34A18">
        <w:rPr>
          <w:b/>
          <w:sz w:val="24"/>
          <w:szCs w:val="24"/>
        </w:rPr>
        <w:t>Accepted By:______________________</w:t>
      </w:r>
    </w:p>
    <w:p w:rsidR="00F14BC6" w:rsidRPr="00A34A18" w:rsidRDefault="00F14BC6" w:rsidP="006A2AEB">
      <w:pPr>
        <w:rPr>
          <w:b/>
          <w:sz w:val="24"/>
          <w:szCs w:val="24"/>
        </w:rPr>
      </w:pPr>
    </w:p>
    <w:p w:rsidR="00F14BC6" w:rsidRPr="00A34A18" w:rsidRDefault="00F14BC6" w:rsidP="006A2AEB">
      <w:pPr>
        <w:rPr>
          <w:b/>
          <w:sz w:val="24"/>
          <w:szCs w:val="24"/>
        </w:rPr>
      </w:pPr>
    </w:p>
    <w:p w:rsidR="00F14BC6" w:rsidRDefault="00F14BC6" w:rsidP="006A2AEB">
      <w:pPr>
        <w:rPr>
          <w:b/>
          <w:sz w:val="24"/>
          <w:szCs w:val="24"/>
        </w:rPr>
      </w:pPr>
      <w:r w:rsidRPr="00A34A18">
        <w:rPr>
          <w:b/>
          <w:sz w:val="24"/>
          <w:szCs w:val="24"/>
        </w:rPr>
        <w:t>Date: ____________________________</w:t>
      </w:r>
    </w:p>
    <w:p w:rsidR="00F14BC6" w:rsidRDefault="00F14BC6" w:rsidP="006A2AEB">
      <w:pPr>
        <w:rPr>
          <w:b/>
          <w:sz w:val="24"/>
          <w:szCs w:val="24"/>
        </w:rPr>
      </w:pPr>
    </w:p>
    <w:p w:rsidR="00F14BC6" w:rsidRPr="00F14BC6" w:rsidRDefault="00F14BC6" w:rsidP="006A2AEB">
      <w:pPr>
        <w:rPr>
          <w:b/>
          <w:sz w:val="24"/>
          <w:szCs w:val="24"/>
        </w:rPr>
      </w:pPr>
    </w:p>
    <w:sectPr w:rsidR="00F14BC6" w:rsidRPr="00F14BC6" w:rsidSect="00AB2D50">
      <w:footerReference w:type="even"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53" w:rsidRDefault="00C81053">
      <w:r>
        <w:separator/>
      </w:r>
    </w:p>
  </w:endnote>
  <w:endnote w:type="continuationSeparator" w:id="0">
    <w:p w:rsidR="00C81053" w:rsidRDefault="00C8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C" w:rsidRDefault="0052051C" w:rsidP="00E97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051C" w:rsidRDefault="0052051C" w:rsidP="005B70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1C" w:rsidRDefault="0052051C" w:rsidP="00E97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7CFA">
      <w:rPr>
        <w:rStyle w:val="PageNumber"/>
        <w:noProof/>
      </w:rPr>
      <w:t>2</w:t>
    </w:r>
    <w:r>
      <w:rPr>
        <w:rStyle w:val="PageNumber"/>
      </w:rPr>
      <w:fldChar w:fldCharType="end"/>
    </w:r>
  </w:p>
  <w:p w:rsidR="0052051C" w:rsidRDefault="0052051C" w:rsidP="005B70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53" w:rsidRDefault="00C81053">
      <w:r>
        <w:separator/>
      </w:r>
    </w:p>
  </w:footnote>
  <w:footnote w:type="continuationSeparator" w:id="0">
    <w:p w:rsidR="00C81053" w:rsidRDefault="00C81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1293EC5"/>
    <w:multiLevelType w:val="singleLevel"/>
    <w:tmpl w:val="8AA6A4A6"/>
    <w:lvl w:ilvl="0">
      <w:start w:val="5"/>
      <w:numFmt w:val="decimal"/>
      <w:lvlText w:val="%1."/>
      <w:lvlJc w:val="left"/>
      <w:pPr>
        <w:tabs>
          <w:tab w:val="num" w:pos="720"/>
        </w:tabs>
        <w:ind w:left="720" w:hanging="504"/>
      </w:pPr>
      <w:rPr>
        <w:rFonts w:hint="default"/>
      </w:rPr>
    </w:lvl>
  </w:abstractNum>
  <w:abstractNum w:abstractNumId="2">
    <w:nsid w:val="3A2D1D28"/>
    <w:multiLevelType w:val="hybridMultilevel"/>
    <w:tmpl w:val="5538C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97561E"/>
    <w:multiLevelType w:val="hybridMultilevel"/>
    <w:tmpl w:val="F9364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916AE"/>
    <w:multiLevelType w:val="singleLevel"/>
    <w:tmpl w:val="88B87BCA"/>
    <w:lvl w:ilvl="0">
      <w:start w:val="2"/>
      <w:numFmt w:val="decimal"/>
      <w:lvlText w:val="%1."/>
      <w:lvlJc w:val="left"/>
      <w:pPr>
        <w:tabs>
          <w:tab w:val="num" w:pos="726"/>
        </w:tabs>
        <w:ind w:left="726" w:hanging="510"/>
      </w:pPr>
      <w:rPr>
        <w:rFonts w:hint="default"/>
      </w:rPr>
    </w:lvl>
  </w:abstractNum>
  <w:abstractNum w:abstractNumId="5">
    <w:nsid w:val="5BB611A4"/>
    <w:multiLevelType w:val="singleLevel"/>
    <w:tmpl w:val="F03A82C0"/>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6A"/>
    <w:rsid w:val="0001126A"/>
    <w:rsid w:val="00014E9F"/>
    <w:rsid w:val="000317C9"/>
    <w:rsid w:val="00041CDD"/>
    <w:rsid w:val="0004476C"/>
    <w:rsid w:val="00085B12"/>
    <w:rsid w:val="00097146"/>
    <w:rsid w:val="000B15B2"/>
    <w:rsid w:val="000B6D4E"/>
    <w:rsid w:val="000D45A9"/>
    <w:rsid w:val="00102500"/>
    <w:rsid w:val="0011248A"/>
    <w:rsid w:val="001151CB"/>
    <w:rsid w:val="00126337"/>
    <w:rsid w:val="0013036D"/>
    <w:rsid w:val="00160247"/>
    <w:rsid w:val="001703FC"/>
    <w:rsid w:val="00175AF3"/>
    <w:rsid w:val="00197BB4"/>
    <w:rsid w:val="001A241F"/>
    <w:rsid w:val="001A6395"/>
    <w:rsid w:val="001B277D"/>
    <w:rsid w:val="001C1922"/>
    <w:rsid w:val="001C2939"/>
    <w:rsid w:val="001F0C2F"/>
    <w:rsid w:val="001F2FA0"/>
    <w:rsid w:val="0020529E"/>
    <w:rsid w:val="002055CE"/>
    <w:rsid w:val="0022126D"/>
    <w:rsid w:val="002352F2"/>
    <w:rsid w:val="00240BE9"/>
    <w:rsid w:val="002510E1"/>
    <w:rsid w:val="0026387E"/>
    <w:rsid w:val="002764FA"/>
    <w:rsid w:val="00293115"/>
    <w:rsid w:val="002960FE"/>
    <w:rsid w:val="002A4320"/>
    <w:rsid w:val="002A79F0"/>
    <w:rsid w:val="002D296C"/>
    <w:rsid w:val="002E2188"/>
    <w:rsid w:val="002E3E43"/>
    <w:rsid w:val="002E6A46"/>
    <w:rsid w:val="002E7DDA"/>
    <w:rsid w:val="002F4D78"/>
    <w:rsid w:val="00305904"/>
    <w:rsid w:val="003350A8"/>
    <w:rsid w:val="00336530"/>
    <w:rsid w:val="00346936"/>
    <w:rsid w:val="003618CA"/>
    <w:rsid w:val="00362956"/>
    <w:rsid w:val="00374E25"/>
    <w:rsid w:val="003801F5"/>
    <w:rsid w:val="003854B7"/>
    <w:rsid w:val="003873EB"/>
    <w:rsid w:val="00393499"/>
    <w:rsid w:val="00395E06"/>
    <w:rsid w:val="003B2097"/>
    <w:rsid w:val="003B51DF"/>
    <w:rsid w:val="003F266A"/>
    <w:rsid w:val="0040349C"/>
    <w:rsid w:val="00410641"/>
    <w:rsid w:val="0042359B"/>
    <w:rsid w:val="00432EED"/>
    <w:rsid w:val="004409DE"/>
    <w:rsid w:val="0044471F"/>
    <w:rsid w:val="00450E28"/>
    <w:rsid w:val="00472EB4"/>
    <w:rsid w:val="004749D1"/>
    <w:rsid w:val="004804F6"/>
    <w:rsid w:val="004835B8"/>
    <w:rsid w:val="0049694B"/>
    <w:rsid w:val="004A43A2"/>
    <w:rsid w:val="004D1B8B"/>
    <w:rsid w:val="004D4615"/>
    <w:rsid w:val="004D7FE5"/>
    <w:rsid w:val="004F1A5A"/>
    <w:rsid w:val="0052051C"/>
    <w:rsid w:val="005209D4"/>
    <w:rsid w:val="0057040B"/>
    <w:rsid w:val="00575C87"/>
    <w:rsid w:val="0059460F"/>
    <w:rsid w:val="005B2AED"/>
    <w:rsid w:val="005B70B3"/>
    <w:rsid w:val="005C0CBF"/>
    <w:rsid w:val="005C49B9"/>
    <w:rsid w:val="005C5FEB"/>
    <w:rsid w:val="005E547F"/>
    <w:rsid w:val="005F4EB6"/>
    <w:rsid w:val="00604EA0"/>
    <w:rsid w:val="00606B62"/>
    <w:rsid w:val="00607B4C"/>
    <w:rsid w:val="00614D5F"/>
    <w:rsid w:val="00620364"/>
    <w:rsid w:val="00642D68"/>
    <w:rsid w:val="00673602"/>
    <w:rsid w:val="006807A4"/>
    <w:rsid w:val="00681909"/>
    <w:rsid w:val="00682D93"/>
    <w:rsid w:val="006929DF"/>
    <w:rsid w:val="00694CF9"/>
    <w:rsid w:val="006A2AEB"/>
    <w:rsid w:val="006A5E9D"/>
    <w:rsid w:val="006C2DB4"/>
    <w:rsid w:val="006C5078"/>
    <w:rsid w:val="00716122"/>
    <w:rsid w:val="00717500"/>
    <w:rsid w:val="00720634"/>
    <w:rsid w:val="00721B07"/>
    <w:rsid w:val="00734718"/>
    <w:rsid w:val="00740029"/>
    <w:rsid w:val="00744E8B"/>
    <w:rsid w:val="00744EAC"/>
    <w:rsid w:val="0076386F"/>
    <w:rsid w:val="00782617"/>
    <w:rsid w:val="007A33D9"/>
    <w:rsid w:val="007B5171"/>
    <w:rsid w:val="007B7614"/>
    <w:rsid w:val="007C7575"/>
    <w:rsid w:val="007D0D87"/>
    <w:rsid w:val="007D29A3"/>
    <w:rsid w:val="007D7CFA"/>
    <w:rsid w:val="008160FC"/>
    <w:rsid w:val="0083210C"/>
    <w:rsid w:val="00835A95"/>
    <w:rsid w:val="00837A3F"/>
    <w:rsid w:val="0084662A"/>
    <w:rsid w:val="00854129"/>
    <w:rsid w:val="008618E4"/>
    <w:rsid w:val="0088213B"/>
    <w:rsid w:val="008B1F1B"/>
    <w:rsid w:val="008B5494"/>
    <w:rsid w:val="008C0534"/>
    <w:rsid w:val="008D3B20"/>
    <w:rsid w:val="008D40E0"/>
    <w:rsid w:val="00900CB8"/>
    <w:rsid w:val="00905662"/>
    <w:rsid w:val="009057E2"/>
    <w:rsid w:val="009147F5"/>
    <w:rsid w:val="009262B7"/>
    <w:rsid w:val="00937AEB"/>
    <w:rsid w:val="00943EAB"/>
    <w:rsid w:val="009662DD"/>
    <w:rsid w:val="009752EE"/>
    <w:rsid w:val="0097614E"/>
    <w:rsid w:val="00994004"/>
    <w:rsid w:val="009A0032"/>
    <w:rsid w:val="009C2FB8"/>
    <w:rsid w:val="009F7EB9"/>
    <w:rsid w:val="00A12CB1"/>
    <w:rsid w:val="00A22B9E"/>
    <w:rsid w:val="00A329E6"/>
    <w:rsid w:val="00A34A18"/>
    <w:rsid w:val="00A35779"/>
    <w:rsid w:val="00A45878"/>
    <w:rsid w:val="00A50DF2"/>
    <w:rsid w:val="00A64289"/>
    <w:rsid w:val="00A65B8A"/>
    <w:rsid w:val="00A80F1B"/>
    <w:rsid w:val="00A83FC4"/>
    <w:rsid w:val="00AB2D50"/>
    <w:rsid w:val="00AD0B9E"/>
    <w:rsid w:val="00AE6290"/>
    <w:rsid w:val="00AF32E7"/>
    <w:rsid w:val="00AF5A0C"/>
    <w:rsid w:val="00B03F8B"/>
    <w:rsid w:val="00B05AF7"/>
    <w:rsid w:val="00B14B78"/>
    <w:rsid w:val="00B2200C"/>
    <w:rsid w:val="00B322D9"/>
    <w:rsid w:val="00B32364"/>
    <w:rsid w:val="00B43ECE"/>
    <w:rsid w:val="00B45CCA"/>
    <w:rsid w:val="00B4781F"/>
    <w:rsid w:val="00B76D57"/>
    <w:rsid w:val="00B80E04"/>
    <w:rsid w:val="00B869B0"/>
    <w:rsid w:val="00B96549"/>
    <w:rsid w:val="00BA2610"/>
    <w:rsid w:val="00BB050F"/>
    <w:rsid w:val="00BD6496"/>
    <w:rsid w:val="00BE52A9"/>
    <w:rsid w:val="00BE733F"/>
    <w:rsid w:val="00C0637C"/>
    <w:rsid w:val="00C220F3"/>
    <w:rsid w:val="00C241A5"/>
    <w:rsid w:val="00C37668"/>
    <w:rsid w:val="00C4330D"/>
    <w:rsid w:val="00C5008A"/>
    <w:rsid w:val="00C81053"/>
    <w:rsid w:val="00C84258"/>
    <w:rsid w:val="00C94ADF"/>
    <w:rsid w:val="00CA6EBB"/>
    <w:rsid w:val="00CA7500"/>
    <w:rsid w:val="00CB4790"/>
    <w:rsid w:val="00CB7042"/>
    <w:rsid w:val="00CC78C2"/>
    <w:rsid w:val="00CE072D"/>
    <w:rsid w:val="00CF2876"/>
    <w:rsid w:val="00D01EE1"/>
    <w:rsid w:val="00D0268A"/>
    <w:rsid w:val="00D14842"/>
    <w:rsid w:val="00D176E1"/>
    <w:rsid w:val="00D2053A"/>
    <w:rsid w:val="00D21EA1"/>
    <w:rsid w:val="00D3285A"/>
    <w:rsid w:val="00D47687"/>
    <w:rsid w:val="00D53D75"/>
    <w:rsid w:val="00D74F09"/>
    <w:rsid w:val="00DC0305"/>
    <w:rsid w:val="00DC2B2E"/>
    <w:rsid w:val="00DC4DC9"/>
    <w:rsid w:val="00DF15FF"/>
    <w:rsid w:val="00E0525D"/>
    <w:rsid w:val="00E302FA"/>
    <w:rsid w:val="00E620F3"/>
    <w:rsid w:val="00E71C7A"/>
    <w:rsid w:val="00E744DD"/>
    <w:rsid w:val="00E80CB6"/>
    <w:rsid w:val="00E90386"/>
    <w:rsid w:val="00E97308"/>
    <w:rsid w:val="00EA40FD"/>
    <w:rsid w:val="00EA55E9"/>
    <w:rsid w:val="00ED5564"/>
    <w:rsid w:val="00EE4843"/>
    <w:rsid w:val="00EF3833"/>
    <w:rsid w:val="00F055DB"/>
    <w:rsid w:val="00F14BC6"/>
    <w:rsid w:val="00F46302"/>
    <w:rsid w:val="00F51F5A"/>
    <w:rsid w:val="00F530CE"/>
    <w:rsid w:val="00F71E31"/>
    <w:rsid w:val="00F7637F"/>
    <w:rsid w:val="00F93CB6"/>
    <w:rsid w:val="00FC5214"/>
    <w:rsid w:val="00FD4DA4"/>
    <w:rsid w:val="00FE00F7"/>
    <w:rsid w:val="00FE05D9"/>
    <w:rsid w:val="00FE2A62"/>
    <w:rsid w:val="00FE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66A"/>
  </w:style>
  <w:style w:type="paragraph" w:styleId="Heading5">
    <w:name w:val="heading 5"/>
    <w:basedOn w:val="Normal"/>
    <w:next w:val="Normal"/>
    <w:qFormat/>
    <w:rsid w:val="00B869B0"/>
    <w:pPr>
      <w:keepNext/>
      <w:keepLines/>
      <w:spacing w:line="220" w:lineRule="exac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9B0"/>
    <w:pPr>
      <w:keepNext/>
      <w:keepLines/>
      <w:spacing w:line="220" w:lineRule="exact"/>
      <w:jc w:val="both"/>
    </w:pPr>
  </w:style>
  <w:style w:type="paragraph" w:styleId="Footer">
    <w:name w:val="footer"/>
    <w:basedOn w:val="Normal"/>
    <w:rsid w:val="005B70B3"/>
    <w:pPr>
      <w:tabs>
        <w:tab w:val="center" w:pos="4320"/>
        <w:tab w:val="right" w:pos="8640"/>
      </w:tabs>
    </w:pPr>
  </w:style>
  <w:style w:type="character" w:styleId="PageNumber">
    <w:name w:val="page number"/>
    <w:basedOn w:val="DefaultParagraphFont"/>
    <w:rsid w:val="005B70B3"/>
  </w:style>
  <w:style w:type="paragraph" w:styleId="BalloonText">
    <w:name w:val="Balloon Text"/>
    <w:basedOn w:val="Normal"/>
    <w:semiHidden/>
    <w:rsid w:val="00717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66A"/>
  </w:style>
  <w:style w:type="paragraph" w:styleId="Heading5">
    <w:name w:val="heading 5"/>
    <w:basedOn w:val="Normal"/>
    <w:next w:val="Normal"/>
    <w:qFormat/>
    <w:rsid w:val="00B869B0"/>
    <w:pPr>
      <w:keepNext/>
      <w:keepLines/>
      <w:spacing w:line="220" w:lineRule="exact"/>
      <w:jc w:val="both"/>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69B0"/>
    <w:pPr>
      <w:keepNext/>
      <w:keepLines/>
      <w:spacing w:line="220" w:lineRule="exact"/>
      <w:jc w:val="both"/>
    </w:pPr>
  </w:style>
  <w:style w:type="paragraph" w:styleId="Footer">
    <w:name w:val="footer"/>
    <w:basedOn w:val="Normal"/>
    <w:rsid w:val="005B70B3"/>
    <w:pPr>
      <w:tabs>
        <w:tab w:val="center" w:pos="4320"/>
        <w:tab w:val="right" w:pos="8640"/>
      </w:tabs>
    </w:pPr>
  </w:style>
  <w:style w:type="character" w:styleId="PageNumber">
    <w:name w:val="page number"/>
    <w:basedOn w:val="DefaultParagraphFont"/>
    <w:rsid w:val="005B70B3"/>
  </w:style>
  <w:style w:type="paragraph" w:styleId="BalloonText">
    <w:name w:val="Balloon Text"/>
    <w:basedOn w:val="Normal"/>
    <w:semiHidden/>
    <w:rsid w:val="00717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College Heights Foundation</vt:lpstr>
    </vt:vector>
  </TitlesOfParts>
  <Company>Wachovia Securities</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Heights Foundation</dc:title>
  <dc:creator>Wachovia</dc:creator>
  <cp:lastModifiedBy>Smith, Donald</cp:lastModifiedBy>
  <cp:revision>4</cp:revision>
  <cp:lastPrinted>2013-04-23T18:36:00Z</cp:lastPrinted>
  <dcterms:created xsi:type="dcterms:W3CDTF">2014-05-21T16:24:00Z</dcterms:created>
  <dcterms:modified xsi:type="dcterms:W3CDTF">2017-05-03T22:07:00Z</dcterms:modified>
</cp:coreProperties>
</file>