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33" w:rsidRDefault="0093400A" w:rsidP="00354F08">
      <w:pPr>
        <w:spacing w:after="0"/>
        <w:jc w:val="center"/>
        <w:rPr>
          <w:b/>
        </w:rPr>
      </w:pPr>
      <w:r w:rsidRPr="006011D3">
        <w:rPr>
          <w:b/>
        </w:rPr>
        <w:t>Minutes of the Applied Practice Experiences (APE) Ad Hoc Committee Meeting</w:t>
      </w:r>
    </w:p>
    <w:p w:rsidR="00354F08" w:rsidRPr="006011D3" w:rsidRDefault="00354F08" w:rsidP="00354F08">
      <w:pPr>
        <w:spacing w:after="0"/>
        <w:jc w:val="center"/>
        <w:rPr>
          <w:b/>
        </w:rPr>
      </w:pPr>
      <w:r>
        <w:rPr>
          <w:b/>
        </w:rPr>
        <w:t>February 16</w:t>
      </w:r>
      <w:r w:rsidR="00F11B6B">
        <w:rPr>
          <w:b/>
        </w:rPr>
        <w:t xml:space="preserve"> and 21</w:t>
      </w:r>
      <w:r>
        <w:rPr>
          <w:b/>
        </w:rPr>
        <w:t>, 2017</w:t>
      </w:r>
    </w:p>
    <w:p w:rsidR="0093400A" w:rsidRDefault="0093400A"/>
    <w:p w:rsidR="00077A82" w:rsidRDefault="00077A82" w:rsidP="00077A82">
      <w:pPr>
        <w:spacing w:after="0" w:line="240" w:lineRule="auto"/>
      </w:pPr>
      <w:r>
        <w:t xml:space="preserve">Present: </w:t>
      </w:r>
      <w:r w:rsidR="006011D3">
        <w:t>Colin Farrell</w:t>
      </w:r>
      <w:r>
        <w:t xml:space="preserve">, Marilyn Gardner, </w:t>
      </w:r>
      <w:r w:rsidRPr="00112E54">
        <w:t>Temidayo</w:t>
      </w:r>
      <w:r>
        <w:t xml:space="preserve"> Ogungbemi,</w:t>
      </w:r>
      <w:r w:rsidRPr="00112E54">
        <w:t xml:space="preserve"> </w:t>
      </w:r>
      <w:r>
        <w:t>Yu-Hsuan Chen, Zona Ascensio</w:t>
      </w:r>
    </w:p>
    <w:p w:rsidR="00077A82" w:rsidRDefault="00077A82" w:rsidP="00077A82">
      <w:pPr>
        <w:spacing w:after="0" w:line="240" w:lineRule="auto"/>
      </w:pPr>
    </w:p>
    <w:p w:rsidR="00CD0AA8" w:rsidRDefault="00077A82" w:rsidP="00077A82">
      <w:pPr>
        <w:spacing w:after="0" w:line="240" w:lineRule="auto"/>
      </w:pPr>
      <w:r>
        <w:t>Gardne</w:t>
      </w:r>
      <w:r w:rsidR="006011D3">
        <w:t>r presented overview of CEPH’s AP</w:t>
      </w:r>
      <w:r>
        <w:t xml:space="preserve">E criteria, which requires each student </w:t>
      </w:r>
      <w:r w:rsidR="00354F08">
        <w:t>to</w:t>
      </w:r>
      <w:r w:rsidR="006011D3">
        <w:t xml:space="preserve"> demonstrate a minimum of five competencies</w:t>
      </w:r>
      <w:r w:rsidR="00354F08">
        <w:t xml:space="preserve"> (at least three of which must be foundational)</w:t>
      </w:r>
      <w:r w:rsidR="006011D3">
        <w:t xml:space="preserve"> through the production of at least two products. </w:t>
      </w:r>
      <w:r w:rsidR="00CD0AA8">
        <w:t>Per CEPH, t</w:t>
      </w:r>
      <w:r w:rsidR="00CD0AA8">
        <w:t>he</w:t>
      </w:r>
      <w:r w:rsidR="00CD0AA8">
        <w:t>se</w:t>
      </w:r>
      <w:r w:rsidR="00CD0AA8">
        <w:t xml:space="preserve"> product</w:t>
      </w:r>
      <w:r w:rsidR="00CD0AA8">
        <w:t>s</w:t>
      </w:r>
      <w:r w:rsidR="00CD0AA8">
        <w:t xml:space="preserve"> must arise from significant </w:t>
      </w:r>
      <w:r w:rsidR="00CD0AA8">
        <w:t xml:space="preserve">contact with a practice setting. </w:t>
      </w:r>
    </w:p>
    <w:p w:rsidR="00354F08" w:rsidRDefault="00CD0AA8" w:rsidP="00077A82">
      <w:pPr>
        <w:spacing w:after="0" w:line="240" w:lineRule="auto"/>
      </w:pPr>
      <w:r>
        <w:t xml:space="preserve"> </w:t>
      </w:r>
    </w:p>
    <w:p w:rsidR="005032FF" w:rsidRDefault="00B274EF" w:rsidP="00077A82">
      <w:pPr>
        <w:spacing w:after="0" w:line="240" w:lineRule="auto"/>
      </w:pPr>
      <w:r>
        <w:t>Various c</w:t>
      </w:r>
      <w:r w:rsidR="00077A82">
        <w:t>urricular and</w:t>
      </w:r>
      <w:r w:rsidR="00354F08">
        <w:t xml:space="preserve"> non-curricular pathways to fulfil the APE requirement </w:t>
      </w:r>
      <w:r w:rsidR="00CD0AA8">
        <w:t xml:space="preserve">were discussed </w:t>
      </w:r>
      <w:r>
        <w:t xml:space="preserve">and critiqued </w:t>
      </w:r>
      <w:r w:rsidR="00CD0AA8">
        <w:t>at length.  Because the focus for this criterion has shifted away from process (</w:t>
      </w:r>
      <w:proofErr w:type="spellStart"/>
      <w:r w:rsidR="00CD0AA8">
        <w:t>ie</w:t>
      </w:r>
      <w:proofErr w:type="spellEnd"/>
      <w:r w:rsidR="00CD0AA8">
        <w:t>, # hours in a practice setting), concerns were voiced over “</w:t>
      </w:r>
      <w:r w:rsidR="005032FF">
        <w:t>what is enough,</w:t>
      </w:r>
      <w:r w:rsidR="00CD0AA8">
        <w:t xml:space="preserve">” </w:t>
      </w:r>
      <w:r w:rsidR="005032FF">
        <w:t>as well what was an appropriate experience</w:t>
      </w:r>
      <w:r w:rsidR="00DE2487">
        <w:t xml:space="preserve"> and </w:t>
      </w:r>
      <w:r w:rsidR="005032FF">
        <w:t xml:space="preserve">how we can ensure online students </w:t>
      </w:r>
      <w:r w:rsidR="00DE2487">
        <w:t>are not disadvantaged.</w:t>
      </w:r>
    </w:p>
    <w:p w:rsidR="005032FF" w:rsidRDefault="005032FF" w:rsidP="00077A82">
      <w:pPr>
        <w:spacing w:after="0" w:line="240" w:lineRule="auto"/>
      </w:pPr>
    </w:p>
    <w:p w:rsidR="0066437F" w:rsidRDefault="00CD0AA8" w:rsidP="00077A82">
      <w:pPr>
        <w:spacing w:after="0" w:line="240" w:lineRule="auto"/>
      </w:pPr>
      <w:r>
        <w:t xml:space="preserve">There was </w:t>
      </w:r>
      <w:r w:rsidR="005032FF">
        <w:t xml:space="preserve">committee </w:t>
      </w:r>
      <w:r>
        <w:t xml:space="preserve">consensus that </w:t>
      </w:r>
      <w:r w:rsidR="005032FF">
        <w:t>engaging in practice experiences should be encouraged beginning in the first semester for all MPH students, and that ideally, we would like to see them do so each semester.</w:t>
      </w:r>
      <w:r>
        <w:t xml:space="preserve"> </w:t>
      </w:r>
      <w:r w:rsidR="005032FF">
        <w:t xml:space="preserve"> Because the MPH is a four-semester program, the committee recommends a four-unit mod</w:t>
      </w:r>
      <w:r w:rsidR="0066437F">
        <w:t xml:space="preserve">el for framing this requirement, whereby each unit is </w:t>
      </w:r>
      <w:r w:rsidR="00735F92">
        <w:t xml:space="preserve">roughly </w:t>
      </w:r>
      <w:r w:rsidR="0066437F">
        <w:t xml:space="preserve">equivalent to one credit hour of </w:t>
      </w:r>
      <w:r w:rsidR="009E1263">
        <w:t>learning engagement, as defined in</w:t>
      </w:r>
      <w:r w:rsidR="00735F92">
        <w:t xml:space="preserve"> </w:t>
      </w:r>
      <w:r w:rsidR="0066437F">
        <w:t xml:space="preserve">WKU </w:t>
      </w:r>
      <w:hyperlink r:id="rId8" w:history="1">
        <w:r w:rsidR="0066437F" w:rsidRPr="0066437F">
          <w:rPr>
            <w:rStyle w:val="Hyperlink"/>
          </w:rPr>
          <w:t>Policy 1.4033</w:t>
        </w:r>
      </w:hyperlink>
      <w:r w:rsidR="00735F92">
        <w:rPr>
          <w:rStyle w:val="FootnoteReference"/>
        </w:rPr>
        <w:footnoteReference w:id="1"/>
      </w:r>
      <w:r w:rsidR="009E1263">
        <w:t xml:space="preserve">.  </w:t>
      </w:r>
    </w:p>
    <w:p w:rsidR="009E1263" w:rsidRDefault="009E1263" w:rsidP="00077A82">
      <w:pPr>
        <w:spacing w:after="0" w:line="240" w:lineRule="auto"/>
      </w:pPr>
    </w:p>
    <w:p w:rsidR="00077A82" w:rsidRDefault="00077A82" w:rsidP="00077A82">
      <w:pPr>
        <w:spacing w:after="0" w:line="240" w:lineRule="auto"/>
        <w:rPr>
          <w:b/>
        </w:rPr>
      </w:pPr>
      <w:r w:rsidRPr="00BC4C41">
        <w:rPr>
          <w:b/>
        </w:rPr>
        <w:t xml:space="preserve">Recommended </w:t>
      </w:r>
      <w:r>
        <w:rPr>
          <w:b/>
        </w:rPr>
        <w:t xml:space="preserve">Common </w:t>
      </w:r>
      <w:r w:rsidRPr="00BC4C41">
        <w:rPr>
          <w:b/>
        </w:rPr>
        <w:t>Guidelines</w:t>
      </w:r>
    </w:p>
    <w:p w:rsidR="0041310F" w:rsidRPr="00354F08" w:rsidRDefault="00354F08" w:rsidP="00077A82">
      <w:pPr>
        <w:spacing w:after="0" w:line="240" w:lineRule="auto"/>
      </w:pPr>
      <w:r>
        <w:t>All students must complete at lea</w:t>
      </w:r>
      <w:r w:rsidR="0041310F">
        <w:t xml:space="preserve">st four units of APEs.  Each unit requires a </w:t>
      </w:r>
      <w:r w:rsidR="00F11B6B">
        <w:t xml:space="preserve">recommended </w:t>
      </w:r>
      <w:r w:rsidR="0041310F">
        <w:t xml:space="preserve">minimum of </w:t>
      </w:r>
      <w:r w:rsidR="00324110">
        <w:t>25</w:t>
      </w:r>
      <w:r w:rsidR="0041310F">
        <w:t xml:space="preserve"> clock hours of workin</w:t>
      </w:r>
      <w:r w:rsidR="00732CA6">
        <w:t>g with or in a practice setting.</w:t>
      </w:r>
      <w:r w:rsidR="0041310F">
        <w:t xml:space="preserve"> No experience shall be for less than .5 uni</w:t>
      </w:r>
      <w:r w:rsidR="00732CA6">
        <w:t>ts, or 1</w:t>
      </w:r>
      <w:r w:rsidR="00324110">
        <w:t>2.</w:t>
      </w:r>
      <w:r w:rsidR="00F11B6B">
        <w:t xml:space="preserve">5 clock hours of </w:t>
      </w:r>
      <w:r w:rsidR="00732CA6">
        <w:t xml:space="preserve">working with or in a practice setting.  </w:t>
      </w:r>
      <w:r w:rsidR="00324110">
        <w:t xml:space="preserve">All experiences must align with foundational or program competencies.  </w:t>
      </w:r>
    </w:p>
    <w:p w:rsidR="00077A82" w:rsidRDefault="00077A82" w:rsidP="00077A82">
      <w:pPr>
        <w:spacing w:after="0" w:line="240" w:lineRule="auto"/>
      </w:pPr>
    </w:p>
    <w:p w:rsidR="00077A82" w:rsidRPr="00BC4C41" w:rsidRDefault="00077A82" w:rsidP="00077A82">
      <w:pPr>
        <w:spacing w:after="0" w:line="240" w:lineRule="auto"/>
        <w:rPr>
          <w:b/>
        </w:rPr>
      </w:pPr>
      <w:r w:rsidRPr="00BC4C41">
        <w:rPr>
          <w:b/>
        </w:rPr>
        <w:t xml:space="preserve">Recommended pathways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260"/>
      </w:tblGrid>
      <w:tr w:rsidR="0041310F" w:rsidTr="00E01051">
        <w:tc>
          <w:tcPr>
            <w:tcW w:w="4680" w:type="dxa"/>
          </w:tcPr>
          <w:p w:rsidR="0041310F" w:rsidRPr="00243DB7" w:rsidRDefault="0041310F" w:rsidP="00D153E2">
            <w:pPr>
              <w:rPr>
                <w:u w:val="single"/>
              </w:rPr>
            </w:pPr>
            <w:r w:rsidRPr="00243DB7">
              <w:rPr>
                <w:u w:val="single"/>
              </w:rPr>
              <w:t>Curricular Pathways</w:t>
            </w:r>
          </w:p>
        </w:tc>
        <w:tc>
          <w:tcPr>
            <w:tcW w:w="1260" w:type="dxa"/>
          </w:tcPr>
          <w:p w:rsidR="0041310F" w:rsidRPr="00243DB7" w:rsidRDefault="0041310F" w:rsidP="00D153E2">
            <w:pPr>
              <w:rPr>
                <w:u w:val="single"/>
              </w:rPr>
            </w:pPr>
            <w:r>
              <w:rPr>
                <w:u w:val="single"/>
              </w:rPr>
              <w:t>Units</w:t>
            </w:r>
          </w:p>
        </w:tc>
      </w:tr>
      <w:tr w:rsidR="0041310F" w:rsidTr="00E01051">
        <w:tc>
          <w:tcPr>
            <w:tcW w:w="4680" w:type="dxa"/>
          </w:tcPr>
          <w:p w:rsidR="0041310F" w:rsidRDefault="0041310F" w:rsidP="00D153E2">
            <w:r>
              <w:t>PH 588 Capstone</w:t>
            </w:r>
          </w:p>
        </w:tc>
        <w:tc>
          <w:tcPr>
            <w:tcW w:w="1260" w:type="dxa"/>
          </w:tcPr>
          <w:p w:rsidR="0041310F" w:rsidRDefault="0041310F" w:rsidP="00D153E2">
            <w:r>
              <w:t>3 units</w:t>
            </w:r>
          </w:p>
        </w:tc>
      </w:tr>
      <w:tr w:rsidR="0041310F" w:rsidTr="00E01051">
        <w:tc>
          <w:tcPr>
            <w:tcW w:w="4680" w:type="dxa"/>
          </w:tcPr>
          <w:p w:rsidR="0041310F" w:rsidRDefault="0041310F" w:rsidP="00D153E2">
            <w:r>
              <w:t>PH 546 Internship</w:t>
            </w:r>
          </w:p>
        </w:tc>
        <w:tc>
          <w:tcPr>
            <w:tcW w:w="1260" w:type="dxa"/>
          </w:tcPr>
          <w:p w:rsidR="0041310F" w:rsidRDefault="0041310F" w:rsidP="00D153E2">
            <w:r>
              <w:t>1 – 6 units</w:t>
            </w:r>
          </w:p>
        </w:tc>
      </w:tr>
      <w:tr w:rsidR="0041310F" w:rsidTr="00E01051">
        <w:tc>
          <w:tcPr>
            <w:tcW w:w="4680" w:type="dxa"/>
          </w:tcPr>
          <w:p w:rsidR="0041310F" w:rsidRPr="00DE2487" w:rsidRDefault="0041310F" w:rsidP="00D153E2">
            <w:pPr>
              <w:rPr>
                <w:u w:val="single"/>
              </w:rPr>
            </w:pPr>
            <w:r>
              <w:t>Course-embedded projects</w:t>
            </w:r>
          </w:p>
          <w:p w:rsidR="0041310F" w:rsidRDefault="0041310F" w:rsidP="00D153E2">
            <w:pPr>
              <w:rPr>
                <w:u w:val="single"/>
              </w:rPr>
            </w:pPr>
          </w:p>
          <w:p w:rsidR="0041310F" w:rsidRPr="0068544B" w:rsidRDefault="0041310F" w:rsidP="00D153E2">
            <w:pPr>
              <w:rPr>
                <w:u w:val="single"/>
              </w:rPr>
            </w:pPr>
            <w:r w:rsidRPr="0068544B">
              <w:rPr>
                <w:u w:val="single"/>
              </w:rPr>
              <w:t>Non-Curricular Pathways</w:t>
            </w:r>
          </w:p>
        </w:tc>
        <w:tc>
          <w:tcPr>
            <w:tcW w:w="1260" w:type="dxa"/>
          </w:tcPr>
          <w:p w:rsidR="0041310F" w:rsidRDefault="0041310F" w:rsidP="00D153E2">
            <w:r>
              <w:t>.5 – 3 units</w:t>
            </w:r>
          </w:p>
        </w:tc>
      </w:tr>
      <w:tr w:rsidR="0041310F" w:rsidTr="00E01051">
        <w:tc>
          <w:tcPr>
            <w:tcW w:w="4680" w:type="dxa"/>
          </w:tcPr>
          <w:p w:rsidR="0041310F" w:rsidRDefault="0041310F" w:rsidP="00D153E2">
            <w:r>
              <w:t>Non-curricular applied practice experience</w:t>
            </w:r>
          </w:p>
        </w:tc>
        <w:tc>
          <w:tcPr>
            <w:tcW w:w="1260" w:type="dxa"/>
          </w:tcPr>
          <w:p w:rsidR="0041310F" w:rsidRDefault="00E01051" w:rsidP="00D153E2">
            <w:r>
              <w:t>.5</w:t>
            </w:r>
            <w:r w:rsidR="0041310F">
              <w:t xml:space="preserve"> – 3 units</w:t>
            </w:r>
          </w:p>
        </w:tc>
      </w:tr>
    </w:tbl>
    <w:p w:rsidR="00077A82" w:rsidRDefault="00077A82" w:rsidP="00077A82">
      <w:pPr>
        <w:spacing w:after="0" w:line="240" w:lineRule="auto"/>
      </w:pPr>
    </w:p>
    <w:p w:rsidR="00077A82" w:rsidRPr="00671CB7" w:rsidRDefault="00077A82" w:rsidP="00077A82">
      <w:pPr>
        <w:spacing w:after="0" w:line="240" w:lineRule="auto"/>
        <w:rPr>
          <w:b/>
        </w:rPr>
      </w:pPr>
      <w:r w:rsidRPr="00671CB7">
        <w:rPr>
          <w:b/>
        </w:rPr>
        <w:t>Additional</w:t>
      </w:r>
      <w:r>
        <w:rPr>
          <w:b/>
        </w:rPr>
        <w:t xml:space="preserve"> </w:t>
      </w:r>
      <w:r w:rsidR="00E01051">
        <w:rPr>
          <w:b/>
        </w:rPr>
        <w:t>APE</w:t>
      </w:r>
      <w:r w:rsidRPr="00671CB7">
        <w:rPr>
          <w:b/>
        </w:rPr>
        <w:t xml:space="preserve"> Recommendations</w:t>
      </w:r>
    </w:p>
    <w:p w:rsidR="00077A82" w:rsidRDefault="00E01051" w:rsidP="00077A82">
      <w:pPr>
        <w:pStyle w:val="ListParagraph"/>
        <w:numPr>
          <w:ilvl w:val="0"/>
          <w:numId w:val="2"/>
        </w:numPr>
        <w:spacing w:after="0" w:line="240" w:lineRule="auto"/>
      </w:pPr>
      <w:r>
        <w:t>Develop clear descriptions, p/p, and materials for each pathway, including proposal form for non-curricular APEs.</w:t>
      </w:r>
    </w:p>
    <w:p w:rsidR="00E01051" w:rsidRDefault="00E01051" w:rsidP="00077A82">
      <w:pPr>
        <w:pStyle w:val="ListParagraph"/>
        <w:numPr>
          <w:ilvl w:val="0"/>
          <w:numId w:val="2"/>
        </w:numPr>
        <w:spacing w:after="0" w:line="240" w:lineRule="auto"/>
      </w:pPr>
      <w:r>
        <w:t>Include reflection in addition to product.</w:t>
      </w:r>
    </w:p>
    <w:p w:rsidR="00E01051" w:rsidRDefault="00732CA6" w:rsidP="00E010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 with KDPH, LHDs, and foundations </w:t>
      </w:r>
      <w:r w:rsidR="00BB3367">
        <w:t xml:space="preserve">to identify projects for courses </w:t>
      </w:r>
      <w:r w:rsidR="00E01051">
        <w:t>and non-curricular experiences</w:t>
      </w:r>
    </w:p>
    <w:p w:rsidR="00E01051" w:rsidRDefault="00732CA6" w:rsidP="00E010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Develop way to communicate </w:t>
      </w:r>
      <w:r w:rsidR="00B035A9">
        <w:t>opportunities to students</w:t>
      </w:r>
    </w:p>
    <w:p w:rsidR="0093400A" w:rsidRDefault="00B035A9" w:rsidP="00B035A9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Develop system to monitor</w:t>
      </w:r>
    </w:p>
    <w:p w:rsidR="00E74FC3" w:rsidRDefault="00E74FC3" w:rsidP="00B035A9">
      <w:pPr>
        <w:pStyle w:val="ListParagraph"/>
        <w:numPr>
          <w:ilvl w:val="0"/>
          <w:numId w:val="2"/>
        </w:numPr>
        <w:spacing w:after="0" w:line="240" w:lineRule="auto"/>
      </w:pPr>
      <w:r>
        <w:t>Internship hours reduced to a minimum 40 per credit hour (lunch and breaks not included!).</w:t>
      </w:r>
    </w:p>
    <w:p w:rsidR="00E85A21" w:rsidRDefault="00E85A21" w:rsidP="00B035A9">
      <w:pPr>
        <w:pStyle w:val="ListParagraph"/>
        <w:numPr>
          <w:ilvl w:val="0"/>
          <w:numId w:val="2"/>
        </w:numPr>
        <w:spacing w:after="0" w:line="240" w:lineRule="auto"/>
      </w:pPr>
      <w:r>
        <w:t>Hire staff person as community liaison to develop APEs and manage process</w:t>
      </w:r>
      <w:bookmarkStart w:id="0" w:name="_GoBack"/>
      <w:bookmarkEnd w:id="0"/>
    </w:p>
    <w:sectPr w:rsidR="00E8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F0" w:rsidRDefault="008A66F0" w:rsidP="00735F92">
      <w:pPr>
        <w:spacing w:after="0" w:line="240" w:lineRule="auto"/>
      </w:pPr>
      <w:r>
        <w:separator/>
      </w:r>
    </w:p>
  </w:endnote>
  <w:endnote w:type="continuationSeparator" w:id="0">
    <w:p w:rsidR="008A66F0" w:rsidRDefault="008A66F0" w:rsidP="0073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F0" w:rsidRDefault="008A66F0" w:rsidP="00735F92">
      <w:pPr>
        <w:spacing w:after="0" w:line="240" w:lineRule="auto"/>
      </w:pPr>
      <w:r>
        <w:separator/>
      </w:r>
    </w:p>
  </w:footnote>
  <w:footnote w:type="continuationSeparator" w:id="0">
    <w:p w:rsidR="008A66F0" w:rsidRDefault="008A66F0" w:rsidP="00735F92">
      <w:pPr>
        <w:spacing w:after="0" w:line="240" w:lineRule="auto"/>
      </w:pPr>
      <w:r>
        <w:continuationSeparator/>
      </w:r>
    </w:p>
  </w:footnote>
  <w:footnote w:id="1">
    <w:p w:rsidR="00735F92" w:rsidRDefault="00735F92">
      <w:pPr>
        <w:pStyle w:val="FootnoteText"/>
      </w:pPr>
      <w:r>
        <w:rPr>
          <w:rStyle w:val="FootnoteReference"/>
        </w:rPr>
        <w:footnoteRef/>
      </w:r>
      <w:r>
        <w:t xml:space="preserve"> WKU adheres to federal standards whereby each credit hour = one hour of instruction + two hours </w:t>
      </w:r>
      <w:r w:rsidR="00846AFD">
        <w:t>out of class work for 15 weeks;  fo</w:t>
      </w:r>
      <w:r w:rsidR="009E1263">
        <w:t>r purposes of this policy, WKU defines one hour as 50 minutes. Thus, each credit hour is equivalent to 37.5 hours of a student’s time over the course of a semester.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14D0C"/>
    <w:multiLevelType w:val="hybridMultilevel"/>
    <w:tmpl w:val="2982ED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21E006F"/>
    <w:multiLevelType w:val="hybridMultilevel"/>
    <w:tmpl w:val="9A6ED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0A"/>
    <w:rsid w:val="00077A82"/>
    <w:rsid w:val="00324110"/>
    <w:rsid w:val="00354F08"/>
    <w:rsid w:val="0041310F"/>
    <w:rsid w:val="005032FF"/>
    <w:rsid w:val="006011D3"/>
    <w:rsid w:val="0066437F"/>
    <w:rsid w:val="00732CA6"/>
    <w:rsid w:val="00735F92"/>
    <w:rsid w:val="00846AFD"/>
    <w:rsid w:val="00890747"/>
    <w:rsid w:val="008A66F0"/>
    <w:rsid w:val="0093400A"/>
    <w:rsid w:val="009E1263"/>
    <w:rsid w:val="00B035A9"/>
    <w:rsid w:val="00B274EF"/>
    <w:rsid w:val="00BB3367"/>
    <w:rsid w:val="00BD3C33"/>
    <w:rsid w:val="00CD0AA8"/>
    <w:rsid w:val="00DE2487"/>
    <w:rsid w:val="00E01051"/>
    <w:rsid w:val="00E74FC3"/>
    <w:rsid w:val="00E85A21"/>
    <w:rsid w:val="00F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579BD-0823-4B80-A054-C795912B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37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F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F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/policies/docs/4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FE90-B32E-475D-B8CB-D6D7FCBE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3</cp:revision>
  <dcterms:created xsi:type="dcterms:W3CDTF">2017-02-18T12:26:00Z</dcterms:created>
  <dcterms:modified xsi:type="dcterms:W3CDTF">2017-02-21T21:39:00Z</dcterms:modified>
</cp:coreProperties>
</file>