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AE" w:rsidRPr="008F5BAE" w:rsidRDefault="008F5BAE" w:rsidP="008F5BAE">
      <w:pPr>
        <w:spacing w:after="0" w:line="240" w:lineRule="auto"/>
        <w:jc w:val="center"/>
        <w:outlineLvl w:val="1"/>
        <w:rPr>
          <w:rFonts w:eastAsia="Times New Roman" w:cs="Times New Roman"/>
          <w:b/>
          <w:bCs/>
          <w:sz w:val="24"/>
          <w:szCs w:val="24"/>
        </w:rPr>
      </w:pPr>
      <w:r w:rsidRPr="008F5BAE">
        <w:rPr>
          <w:rFonts w:eastAsia="Times New Roman" w:cs="Times New Roman"/>
          <w:b/>
          <w:bCs/>
          <w:sz w:val="24"/>
          <w:szCs w:val="24"/>
        </w:rPr>
        <w:t>Joint MPH/BSPH Program Committee</w:t>
      </w:r>
    </w:p>
    <w:p w:rsidR="008F5BAE" w:rsidRPr="008F5BAE" w:rsidRDefault="008F5BAE" w:rsidP="008F5BAE">
      <w:pPr>
        <w:spacing w:after="0" w:line="240" w:lineRule="auto"/>
        <w:jc w:val="center"/>
        <w:outlineLvl w:val="1"/>
        <w:rPr>
          <w:rFonts w:eastAsia="Times New Roman" w:cs="Times New Roman"/>
          <w:b/>
          <w:bCs/>
          <w:sz w:val="24"/>
          <w:szCs w:val="24"/>
        </w:rPr>
      </w:pPr>
      <w:r>
        <w:rPr>
          <w:rFonts w:eastAsia="Times New Roman" w:cs="Times New Roman"/>
          <w:b/>
          <w:bCs/>
          <w:sz w:val="24"/>
          <w:szCs w:val="24"/>
        </w:rPr>
        <w:t>Minutes</w:t>
      </w:r>
      <w:r w:rsidRPr="008F5BAE">
        <w:rPr>
          <w:rFonts w:eastAsia="Times New Roman" w:cs="Times New Roman"/>
          <w:b/>
          <w:bCs/>
          <w:sz w:val="24"/>
          <w:szCs w:val="24"/>
        </w:rPr>
        <w:t xml:space="preserve"> 5/10/2017</w:t>
      </w:r>
    </w:p>
    <w:p w:rsidR="008F5BAE" w:rsidRDefault="008F5BAE" w:rsidP="008F5BAE">
      <w:pPr>
        <w:spacing w:after="0" w:line="240" w:lineRule="auto"/>
        <w:rPr>
          <w:rFonts w:eastAsia="Times New Roman" w:cs="Times New Roman"/>
          <w:b/>
          <w:bCs/>
          <w:sz w:val="24"/>
          <w:szCs w:val="24"/>
        </w:rPr>
      </w:pPr>
    </w:p>
    <w:p w:rsidR="00293001" w:rsidRDefault="00293001" w:rsidP="008F5BAE">
      <w:pPr>
        <w:spacing w:after="0" w:line="240" w:lineRule="auto"/>
        <w:rPr>
          <w:rFonts w:eastAsia="Times New Roman" w:cs="Times New Roman"/>
          <w:bCs/>
          <w:sz w:val="24"/>
          <w:szCs w:val="24"/>
        </w:rPr>
      </w:pPr>
      <w:r>
        <w:rPr>
          <w:rFonts w:eastAsia="Times New Roman" w:cs="Times New Roman"/>
          <w:b/>
          <w:bCs/>
          <w:sz w:val="24"/>
          <w:szCs w:val="24"/>
        </w:rPr>
        <w:t>Faculty Present:</w:t>
      </w:r>
      <w:r>
        <w:rPr>
          <w:rFonts w:eastAsia="Times New Roman" w:cs="Times New Roman"/>
          <w:bCs/>
          <w:sz w:val="24"/>
          <w:szCs w:val="24"/>
        </w:rPr>
        <w:t xml:space="preserve"> Ding, Farrell, Gardner, Kim, Lartey, </w:t>
      </w:r>
      <w:r w:rsidR="00622CF0">
        <w:rPr>
          <w:rFonts w:eastAsia="Times New Roman" w:cs="Times New Roman"/>
          <w:bCs/>
          <w:sz w:val="24"/>
          <w:szCs w:val="24"/>
        </w:rPr>
        <w:t>Macy, Shearer, Watkins</w:t>
      </w:r>
    </w:p>
    <w:p w:rsidR="00622CF0" w:rsidRPr="00293001" w:rsidRDefault="00622CF0" w:rsidP="008F5BAE">
      <w:pPr>
        <w:spacing w:after="0" w:line="240" w:lineRule="auto"/>
        <w:rPr>
          <w:rFonts w:eastAsia="Times New Roman" w:cs="Times New Roman"/>
          <w:bCs/>
          <w:sz w:val="24"/>
          <w:szCs w:val="24"/>
        </w:rPr>
      </w:pPr>
      <w:r w:rsidRPr="00FD2324">
        <w:rPr>
          <w:rFonts w:eastAsia="Times New Roman" w:cs="Times New Roman"/>
          <w:b/>
          <w:bCs/>
          <w:sz w:val="24"/>
          <w:szCs w:val="24"/>
        </w:rPr>
        <w:t>Students:</w:t>
      </w:r>
      <w:r>
        <w:rPr>
          <w:rFonts w:eastAsia="Times New Roman" w:cs="Times New Roman"/>
          <w:bCs/>
          <w:sz w:val="24"/>
          <w:szCs w:val="24"/>
        </w:rPr>
        <w:t xml:space="preserve"> Ascensio, Steinkamp</w:t>
      </w:r>
    </w:p>
    <w:p w:rsidR="008F5BAE" w:rsidRDefault="008F5BAE" w:rsidP="008F5BAE">
      <w:pPr>
        <w:spacing w:after="0" w:line="240" w:lineRule="auto"/>
        <w:rPr>
          <w:rFonts w:eastAsia="Times New Roman" w:cs="Times New Roman"/>
          <w:sz w:val="24"/>
          <w:szCs w:val="24"/>
        </w:rPr>
      </w:pPr>
      <w:r w:rsidRPr="008F5BAE">
        <w:rPr>
          <w:rFonts w:eastAsia="Times New Roman" w:cs="Times New Roman"/>
          <w:sz w:val="24"/>
          <w:szCs w:val="24"/>
        </w:rPr>
        <w:t> </w:t>
      </w:r>
    </w:p>
    <w:p w:rsidR="00FD2324" w:rsidRDefault="00FD2324" w:rsidP="008F5BAE">
      <w:pPr>
        <w:spacing w:after="0" w:line="240" w:lineRule="auto"/>
        <w:rPr>
          <w:rFonts w:eastAsia="Times New Roman" w:cs="Times New Roman"/>
          <w:b/>
          <w:sz w:val="24"/>
          <w:szCs w:val="24"/>
        </w:rPr>
      </w:pPr>
    </w:p>
    <w:p w:rsidR="008F5BAE" w:rsidRDefault="008F5BAE" w:rsidP="008F5BAE">
      <w:pPr>
        <w:spacing w:after="0" w:line="240" w:lineRule="auto"/>
        <w:rPr>
          <w:rFonts w:eastAsia="Times New Roman" w:cs="Times New Roman"/>
          <w:sz w:val="24"/>
          <w:szCs w:val="24"/>
        </w:rPr>
      </w:pPr>
      <w:r w:rsidRPr="00293001">
        <w:rPr>
          <w:rFonts w:eastAsia="Times New Roman" w:cs="Times New Roman"/>
          <w:b/>
          <w:sz w:val="24"/>
          <w:szCs w:val="24"/>
        </w:rPr>
        <w:t>Ascensio/Watkins motion</w:t>
      </w:r>
      <w:r>
        <w:rPr>
          <w:rFonts w:eastAsia="Times New Roman" w:cs="Times New Roman"/>
          <w:sz w:val="24"/>
          <w:szCs w:val="24"/>
        </w:rPr>
        <w:t xml:space="preserve"> to approve April minutes as posted; passed unanimously. </w:t>
      </w:r>
    </w:p>
    <w:p w:rsidR="008F5BAE" w:rsidRDefault="008F5BAE" w:rsidP="008F5BAE">
      <w:pPr>
        <w:spacing w:after="0" w:line="240" w:lineRule="auto"/>
        <w:rPr>
          <w:rFonts w:eastAsia="Times New Roman" w:cs="Times New Roman"/>
          <w:sz w:val="24"/>
          <w:szCs w:val="24"/>
        </w:rPr>
      </w:pPr>
    </w:p>
    <w:p w:rsidR="008F5BAE" w:rsidRPr="008F5BAE" w:rsidRDefault="008F5BAE" w:rsidP="008F5BAE">
      <w:pPr>
        <w:spacing w:after="0" w:line="240" w:lineRule="auto"/>
        <w:rPr>
          <w:rFonts w:eastAsia="Times New Roman" w:cs="Times New Roman"/>
          <w:sz w:val="24"/>
          <w:szCs w:val="24"/>
        </w:rPr>
      </w:pPr>
      <w:r>
        <w:rPr>
          <w:rFonts w:eastAsia="Times New Roman" w:cs="Times New Roman"/>
          <w:sz w:val="24"/>
          <w:szCs w:val="24"/>
        </w:rPr>
        <w:t>Gardner gave MPH report as posted, and provided update on work completed to date to address deficiencies in interim report and work to be completed during meeting.</w:t>
      </w:r>
    </w:p>
    <w:p w:rsidR="008F5BAE" w:rsidRDefault="008F5BAE" w:rsidP="008F5BAE">
      <w:pPr>
        <w:spacing w:after="0" w:line="240" w:lineRule="auto"/>
        <w:rPr>
          <w:rFonts w:eastAsia="Times New Roman" w:cs="Times New Roman"/>
          <w:sz w:val="24"/>
          <w:szCs w:val="24"/>
        </w:rPr>
      </w:pPr>
    </w:p>
    <w:p w:rsidR="008F5BAE" w:rsidRDefault="008F5BAE" w:rsidP="008F5BAE">
      <w:pPr>
        <w:spacing w:after="0" w:line="240" w:lineRule="auto"/>
        <w:rPr>
          <w:rFonts w:eastAsia="Times New Roman" w:cs="Times New Roman"/>
          <w:sz w:val="24"/>
          <w:szCs w:val="24"/>
          <w:vertAlign w:val="superscript"/>
        </w:rPr>
      </w:pPr>
      <w:r>
        <w:rPr>
          <w:rFonts w:eastAsia="Times New Roman" w:cs="Times New Roman"/>
          <w:sz w:val="24"/>
          <w:szCs w:val="24"/>
        </w:rPr>
        <w:t>Lartey gave update on</w:t>
      </w:r>
      <w:r w:rsidRPr="008F5BAE">
        <w:rPr>
          <w:rFonts w:eastAsia="Times New Roman" w:cs="Times New Roman"/>
          <w:sz w:val="24"/>
          <w:szCs w:val="24"/>
        </w:rPr>
        <w:t xml:space="preserve"> BSPH program revision</w:t>
      </w:r>
      <w:r>
        <w:rPr>
          <w:rFonts w:eastAsia="Times New Roman" w:cs="Times New Roman"/>
          <w:sz w:val="24"/>
          <w:szCs w:val="24"/>
        </w:rPr>
        <w:t>, which</w:t>
      </w:r>
      <w:r w:rsidRPr="008F5BAE">
        <w:rPr>
          <w:rFonts w:eastAsia="Times New Roman" w:cs="Times New Roman"/>
          <w:sz w:val="24"/>
          <w:szCs w:val="24"/>
        </w:rPr>
        <w:t xml:space="preserve"> has been articulated on </w:t>
      </w:r>
      <w:proofErr w:type="spellStart"/>
      <w:r w:rsidRPr="008F5BAE">
        <w:rPr>
          <w:rFonts w:eastAsia="Times New Roman" w:cs="Times New Roman"/>
          <w:sz w:val="24"/>
          <w:szCs w:val="24"/>
        </w:rPr>
        <w:t>iCAP</w:t>
      </w:r>
      <w:proofErr w:type="spellEnd"/>
      <w:r w:rsidRPr="008F5BAE">
        <w:rPr>
          <w:rFonts w:eastAsia="Times New Roman" w:cs="Times New Roman"/>
          <w:sz w:val="24"/>
          <w:szCs w:val="24"/>
        </w:rPr>
        <w:t>. The minor/certificates will be presented at Senate May 11</w:t>
      </w:r>
      <w:r w:rsidRPr="008F5BAE">
        <w:rPr>
          <w:rFonts w:eastAsia="Times New Roman" w:cs="Times New Roman"/>
          <w:sz w:val="24"/>
          <w:szCs w:val="24"/>
          <w:vertAlign w:val="superscript"/>
        </w:rPr>
        <w:t>th</w:t>
      </w:r>
    </w:p>
    <w:p w:rsidR="008F5BAE" w:rsidRPr="008F5BAE" w:rsidRDefault="008F5BAE" w:rsidP="008F5BAE">
      <w:pPr>
        <w:spacing w:after="0" w:line="240" w:lineRule="auto"/>
        <w:rPr>
          <w:rFonts w:eastAsia="Times New Roman" w:cs="Times New Roman"/>
          <w:sz w:val="24"/>
          <w:szCs w:val="24"/>
        </w:rPr>
      </w:pPr>
    </w:p>
    <w:p w:rsidR="008F5BAE" w:rsidRDefault="001D6F17" w:rsidP="008F5BAE">
      <w:pPr>
        <w:spacing w:after="0" w:line="240" w:lineRule="auto"/>
        <w:rPr>
          <w:rFonts w:eastAsia="Times New Roman" w:cs="Times New Roman"/>
          <w:sz w:val="24"/>
          <w:szCs w:val="24"/>
        </w:rPr>
      </w:pPr>
      <w:r>
        <w:rPr>
          <w:rFonts w:eastAsia="Times New Roman" w:cs="Times New Roman"/>
          <w:sz w:val="24"/>
          <w:szCs w:val="24"/>
        </w:rPr>
        <w:t>Gardner summarized the curriculum committee report, and the related motions were each passed unanimously:</w:t>
      </w:r>
    </w:p>
    <w:p w:rsidR="001D6F17" w:rsidRDefault="001D6F17" w:rsidP="001D6F17">
      <w:pPr>
        <w:spacing w:after="0" w:line="240" w:lineRule="auto"/>
        <w:ind w:left="720"/>
        <w:rPr>
          <w:rFonts w:eastAsia="Times New Roman" w:cs="Times New Roman"/>
          <w:sz w:val="24"/>
          <w:szCs w:val="24"/>
        </w:rPr>
      </w:pPr>
      <w:r w:rsidRPr="008F5BAE">
        <w:rPr>
          <w:rFonts w:eastAsia="Times New Roman" w:cs="Times New Roman"/>
          <w:b/>
          <w:sz w:val="24"/>
          <w:szCs w:val="24"/>
        </w:rPr>
        <w:t>Ding/Lartey motion</w:t>
      </w:r>
      <w:r>
        <w:rPr>
          <w:rFonts w:eastAsia="Times New Roman" w:cs="Times New Roman"/>
          <w:sz w:val="24"/>
          <w:szCs w:val="24"/>
        </w:rPr>
        <w:t xml:space="preserve"> to adopt </w:t>
      </w:r>
      <w:r w:rsidRPr="008F5BAE">
        <w:rPr>
          <w:rFonts w:eastAsia="Times New Roman" w:cs="Times New Roman"/>
          <w:sz w:val="24"/>
          <w:szCs w:val="24"/>
        </w:rPr>
        <w:t xml:space="preserve">five MPH competencies </w:t>
      </w:r>
    </w:p>
    <w:p w:rsidR="001D6F17" w:rsidRPr="008F5BAE" w:rsidRDefault="001D6F17" w:rsidP="001D6F17">
      <w:pPr>
        <w:spacing w:after="0" w:line="240" w:lineRule="auto"/>
        <w:ind w:left="720"/>
        <w:rPr>
          <w:rFonts w:eastAsia="Times New Roman" w:cs="Times New Roman"/>
          <w:sz w:val="24"/>
          <w:szCs w:val="24"/>
        </w:rPr>
      </w:pPr>
      <w:r w:rsidRPr="001D6F17">
        <w:rPr>
          <w:rFonts w:eastAsia="Times New Roman" w:cs="Times New Roman"/>
          <w:b/>
          <w:sz w:val="24"/>
          <w:szCs w:val="24"/>
        </w:rPr>
        <w:t>Farrell/Lartey m</w:t>
      </w:r>
      <w:r w:rsidRPr="008F5BAE">
        <w:rPr>
          <w:rFonts w:eastAsia="Times New Roman" w:cs="Times New Roman"/>
          <w:b/>
          <w:sz w:val="24"/>
          <w:szCs w:val="24"/>
        </w:rPr>
        <w:t>otion</w:t>
      </w:r>
      <w:r w:rsidRPr="008F5BAE">
        <w:rPr>
          <w:rFonts w:eastAsia="Times New Roman" w:cs="Times New Roman"/>
          <w:sz w:val="24"/>
          <w:szCs w:val="24"/>
        </w:rPr>
        <w:t xml:space="preserve"> to adopt </w:t>
      </w:r>
      <w:r w:rsidRPr="005F261C">
        <w:rPr>
          <w:rFonts w:eastAsia="Times New Roman" w:cs="Times New Roman"/>
          <w:sz w:val="24"/>
          <w:szCs w:val="24"/>
        </w:rPr>
        <w:t>MPH syllabus format</w:t>
      </w:r>
      <w:r w:rsidRPr="005F261C">
        <w:rPr>
          <w:rFonts w:eastAsia="Times New Roman" w:cs="Times New Roman"/>
          <w:sz w:val="24"/>
          <w:szCs w:val="24"/>
          <w:u w:val="single"/>
        </w:rPr>
        <w:t xml:space="preserve"> </w:t>
      </w:r>
    </w:p>
    <w:p w:rsidR="001D6F17" w:rsidRDefault="001D6F17" w:rsidP="001D6F17">
      <w:pPr>
        <w:spacing w:after="0" w:line="240" w:lineRule="auto"/>
        <w:ind w:left="720"/>
        <w:rPr>
          <w:rFonts w:eastAsia="Times New Roman" w:cs="Times New Roman"/>
          <w:sz w:val="24"/>
          <w:szCs w:val="24"/>
        </w:rPr>
      </w:pPr>
      <w:r w:rsidRPr="001D6F17">
        <w:rPr>
          <w:rFonts w:eastAsia="Times New Roman" w:cs="Times New Roman"/>
          <w:b/>
          <w:sz w:val="24"/>
          <w:szCs w:val="24"/>
        </w:rPr>
        <w:t>Ascensio/Lartey m</w:t>
      </w:r>
      <w:r w:rsidRPr="008F5BAE">
        <w:rPr>
          <w:rFonts w:eastAsia="Times New Roman" w:cs="Times New Roman"/>
          <w:b/>
          <w:sz w:val="24"/>
          <w:szCs w:val="24"/>
        </w:rPr>
        <w:t>otion</w:t>
      </w:r>
      <w:r w:rsidRPr="008F5BAE">
        <w:rPr>
          <w:rFonts w:eastAsia="Times New Roman" w:cs="Times New Roman"/>
          <w:sz w:val="24"/>
          <w:szCs w:val="24"/>
        </w:rPr>
        <w:t xml:space="preserve"> to adopt </w:t>
      </w:r>
      <w:hyperlink r:id="rId5" w:history="1">
        <w:r w:rsidRPr="005F261C">
          <w:rPr>
            <w:rFonts w:eastAsia="Times New Roman" w:cs="Times New Roman"/>
            <w:sz w:val="24"/>
            <w:szCs w:val="24"/>
          </w:rPr>
          <w:t>BSPH syllabus forma</w:t>
        </w:r>
      </w:hyperlink>
      <w:r w:rsidRPr="008F5BAE">
        <w:rPr>
          <w:rFonts w:eastAsia="Times New Roman" w:cs="Times New Roman"/>
          <w:sz w:val="24"/>
          <w:szCs w:val="24"/>
        </w:rPr>
        <w:t>t for required BSPH courses with PH designation</w:t>
      </w:r>
    </w:p>
    <w:p w:rsidR="001D6F17" w:rsidRPr="001720CB" w:rsidRDefault="001D6F17" w:rsidP="008F5BAE">
      <w:pPr>
        <w:spacing w:after="0" w:line="240" w:lineRule="auto"/>
        <w:rPr>
          <w:rFonts w:eastAsia="Times New Roman" w:cs="Times New Roman"/>
          <w:sz w:val="24"/>
          <w:szCs w:val="24"/>
          <w14:stylisticSets>
            <w14:styleSet w14:id="4"/>
          </w14:stylisticSets>
        </w:rPr>
      </w:pPr>
    </w:p>
    <w:p w:rsidR="008F5BAE" w:rsidRDefault="00921B59" w:rsidP="008F5BAE">
      <w:pPr>
        <w:spacing w:after="0" w:line="240" w:lineRule="auto"/>
        <w:rPr>
          <w:rFonts w:eastAsia="Times New Roman" w:cs="Times New Roman"/>
          <w:sz w:val="24"/>
          <w:szCs w:val="24"/>
        </w:rPr>
      </w:pPr>
      <w:r w:rsidRPr="00921B59">
        <w:rPr>
          <w:rFonts w:eastAsia="Times New Roman" w:cs="Times New Roman"/>
          <w:b/>
          <w:sz w:val="24"/>
          <w:szCs w:val="24"/>
        </w:rPr>
        <w:t>Watkins/Steinkamp motion</w:t>
      </w:r>
      <w:r>
        <w:rPr>
          <w:rFonts w:eastAsia="Times New Roman" w:cs="Times New Roman"/>
          <w:sz w:val="24"/>
          <w:szCs w:val="24"/>
        </w:rPr>
        <w:t xml:space="preserve"> to revise admission criteria, as per pre-meeting email and as detailed in the </w:t>
      </w:r>
      <w:hyperlink r:id="rId6" w:history="1">
        <w:r w:rsidR="008F5BAE" w:rsidRPr="001720CB">
          <w:rPr>
            <w:rFonts w:eastAsia="Times New Roman" w:cs="Times New Roman"/>
            <w:sz w:val="24"/>
            <w:szCs w:val="24"/>
          </w:rPr>
          <w:t>MPH Admissions Report</w:t>
        </w:r>
      </w:hyperlink>
      <w:r w:rsidRPr="001720CB">
        <w:rPr>
          <w:rFonts w:eastAsia="Times New Roman" w:cs="Times New Roman"/>
          <w:sz w:val="24"/>
          <w:szCs w:val="24"/>
        </w:rPr>
        <w:t xml:space="preserve">; </w:t>
      </w:r>
      <w:r>
        <w:rPr>
          <w:rFonts w:eastAsia="Times New Roman" w:cs="Times New Roman"/>
          <w:sz w:val="24"/>
          <w:szCs w:val="24"/>
        </w:rPr>
        <w:t>passed unanimously.</w:t>
      </w:r>
    </w:p>
    <w:p w:rsidR="00921B59" w:rsidRPr="008F5BAE" w:rsidRDefault="00921B59" w:rsidP="008F5BAE">
      <w:pPr>
        <w:spacing w:after="0" w:line="240" w:lineRule="auto"/>
        <w:rPr>
          <w:rFonts w:eastAsia="Times New Roman" w:cs="Times New Roman"/>
          <w:sz w:val="24"/>
          <w:szCs w:val="24"/>
        </w:rPr>
      </w:pPr>
    </w:p>
    <w:p w:rsidR="008F5BAE" w:rsidRDefault="00921B59" w:rsidP="008F5BAE">
      <w:pPr>
        <w:spacing w:after="0" w:line="240" w:lineRule="auto"/>
        <w:rPr>
          <w:rFonts w:eastAsia="Times New Roman" w:cs="Times New Roman"/>
          <w:sz w:val="24"/>
          <w:szCs w:val="24"/>
        </w:rPr>
      </w:pPr>
      <w:r>
        <w:rPr>
          <w:rFonts w:eastAsia="Times New Roman" w:cs="Times New Roman"/>
          <w:sz w:val="24"/>
          <w:szCs w:val="24"/>
        </w:rPr>
        <w:t>Farrell presented</w:t>
      </w:r>
      <w:r w:rsidR="008F5BAE" w:rsidRPr="008F5BAE">
        <w:rPr>
          <w:rFonts w:eastAsia="Times New Roman" w:cs="Times New Roman"/>
          <w:sz w:val="24"/>
          <w:szCs w:val="24"/>
        </w:rPr>
        <w:t xml:space="preserve"> </w:t>
      </w:r>
      <w:hyperlink r:id="rId7" w:history="1">
        <w:r w:rsidR="008F5BAE" w:rsidRPr="001720CB">
          <w:rPr>
            <w:rFonts w:eastAsia="Times New Roman" w:cs="Times New Roman"/>
            <w:sz w:val="24"/>
            <w:szCs w:val="24"/>
          </w:rPr>
          <w:t>Diversity Report</w:t>
        </w:r>
      </w:hyperlink>
      <w:r w:rsidRPr="001720CB">
        <w:rPr>
          <w:rFonts w:eastAsia="Times New Roman" w:cs="Times New Roman"/>
          <w:sz w:val="24"/>
          <w:szCs w:val="24"/>
        </w:rPr>
        <w:t xml:space="preserve"> </w:t>
      </w:r>
      <w:r>
        <w:rPr>
          <w:rFonts w:eastAsia="Times New Roman" w:cs="Times New Roman"/>
          <w:sz w:val="24"/>
          <w:szCs w:val="24"/>
        </w:rPr>
        <w:t xml:space="preserve">and discussion of strategies ensued. </w:t>
      </w:r>
      <w:r w:rsidRPr="00921B59">
        <w:rPr>
          <w:rFonts w:eastAsia="Times New Roman" w:cs="Times New Roman"/>
          <w:b/>
          <w:sz w:val="24"/>
          <w:szCs w:val="24"/>
        </w:rPr>
        <w:t>Ascensio/Lartey motion</w:t>
      </w:r>
      <w:r>
        <w:rPr>
          <w:rFonts w:eastAsia="Times New Roman" w:cs="Times New Roman"/>
          <w:sz w:val="24"/>
          <w:szCs w:val="24"/>
        </w:rPr>
        <w:t xml:space="preserve"> to adopt strategies identified by diversity committee.  Passed unanimously.</w:t>
      </w:r>
    </w:p>
    <w:p w:rsidR="00921B59" w:rsidRPr="008F5BAE" w:rsidRDefault="00921B59" w:rsidP="008F5BAE">
      <w:pPr>
        <w:spacing w:after="0" w:line="240" w:lineRule="auto"/>
        <w:rPr>
          <w:rFonts w:eastAsia="Times New Roman" w:cs="Times New Roman"/>
          <w:sz w:val="24"/>
          <w:szCs w:val="24"/>
        </w:rPr>
      </w:pPr>
    </w:p>
    <w:p w:rsidR="008F5BAE" w:rsidRPr="008F5BAE" w:rsidRDefault="00FD2324" w:rsidP="008F5BAE">
      <w:pPr>
        <w:spacing w:after="0" w:line="240" w:lineRule="auto"/>
        <w:rPr>
          <w:rFonts w:eastAsia="Times New Roman" w:cs="Times New Roman"/>
          <w:sz w:val="24"/>
          <w:szCs w:val="24"/>
        </w:rPr>
      </w:pPr>
      <w:r>
        <w:rPr>
          <w:rFonts w:eastAsia="Times New Roman" w:cs="Times New Roman"/>
          <w:sz w:val="24"/>
          <w:szCs w:val="24"/>
        </w:rPr>
        <w:t>Di</w:t>
      </w:r>
      <w:r w:rsidR="004108C1">
        <w:rPr>
          <w:rFonts w:eastAsia="Times New Roman" w:cs="Times New Roman"/>
          <w:sz w:val="24"/>
          <w:szCs w:val="24"/>
        </w:rPr>
        <w:t>scussion about the APE/ILE</w:t>
      </w:r>
      <w:bookmarkStart w:id="0" w:name="_GoBack"/>
      <w:bookmarkEnd w:id="0"/>
      <w:r w:rsidR="008F5BAE" w:rsidRPr="008F5BAE">
        <w:rPr>
          <w:rFonts w:eastAsia="Times New Roman" w:cs="Times New Roman"/>
          <w:sz w:val="24"/>
          <w:szCs w:val="24"/>
        </w:rPr>
        <w:t xml:space="preserve"> </w:t>
      </w:r>
      <w:hyperlink r:id="rId8" w:history="1">
        <w:r w:rsidR="008F5BAE" w:rsidRPr="008F5BAE">
          <w:rPr>
            <w:rFonts w:eastAsia="Times New Roman" w:cs="Times New Roman"/>
            <w:color w:val="0000FF"/>
            <w:sz w:val="24"/>
            <w:szCs w:val="24"/>
            <w:u w:val="single"/>
          </w:rPr>
          <w:t>combined report</w:t>
        </w:r>
      </w:hyperlink>
    </w:p>
    <w:p w:rsidR="008F5BAE" w:rsidRPr="008F5BAE" w:rsidRDefault="008F5BAE" w:rsidP="00BD732F">
      <w:pPr>
        <w:spacing w:after="0" w:line="240" w:lineRule="auto"/>
        <w:rPr>
          <w:rFonts w:eastAsia="Times New Roman" w:cs="Times New Roman"/>
          <w:sz w:val="24"/>
          <w:szCs w:val="24"/>
        </w:rPr>
      </w:pPr>
      <w:r w:rsidRPr="008F5BAE">
        <w:rPr>
          <w:rFonts w:eastAsia="Times New Roman" w:cs="Times New Roman"/>
          <w:sz w:val="24"/>
          <w:szCs w:val="24"/>
        </w:rPr>
        <w:t> </w:t>
      </w:r>
    </w:p>
    <w:p w:rsidR="001D6F17" w:rsidRDefault="008F5BAE" w:rsidP="001D6F17">
      <w:pPr>
        <w:spacing w:after="0" w:line="240" w:lineRule="auto"/>
        <w:rPr>
          <w:rFonts w:eastAsia="Times New Roman" w:cs="Times New Roman"/>
          <w:sz w:val="24"/>
          <w:szCs w:val="24"/>
        </w:rPr>
      </w:pPr>
      <w:r w:rsidRPr="008F5BAE">
        <w:rPr>
          <w:rFonts w:eastAsia="Times New Roman" w:cs="Times New Roman"/>
          <w:sz w:val="24"/>
          <w:szCs w:val="24"/>
        </w:rPr>
        <w:t xml:space="preserve">. </w:t>
      </w:r>
      <w:r w:rsidR="001D6F17">
        <w:rPr>
          <w:rFonts w:eastAsia="Times New Roman" w:cs="Times New Roman"/>
          <w:sz w:val="24"/>
          <w:szCs w:val="24"/>
        </w:rPr>
        <w:t xml:space="preserve"> </w:t>
      </w:r>
    </w:p>
    <w:p w:rsidR="008F5BAE" w:rsidRPr="008F5BAE" w:rsidRDefault="00C640F7" w:rsidP="00BD732F">
      <w:pPr>
        <w:spacing w:after="0" w:line="240" w:lineRule="auto"/>
        <w:rPr>
          <w:rFonts w:eastAsia="Times New Roman" w:cs="Times New Roman"/>
          <w:sz w:val="24"/>
          <w:szCs w:val="24"/>
        </w:rPr>
      </w:pPr>
      <w:r w:rsidRPr="00C640F7">
        <w:rPr>
          <w:rFonts w:eastAsia="Times New Roman" w:cs="Times New Roman"/>
          <w:b/>
          <w:sz w:val="24"/>
          <w:szCs w:val="24"/>
        </w:rPr>
        <w:t>Ascensio/Farrell motion</w:t>
      </w:r>
      <w:r>
        <w:rPr>
          <w:rFonts w:eastAsia="Times New Roman" w:cs="Times New Roman"/>
          <w:sz w:val="24"/>
          <w:szCs w:val="24"/>
        </w:rPr>
        <w:t xml:space="preserve"> to adopt program goals recommended by CCs; passed unanimously.</w:t>
      </w:r>
    </w:p>
    <w:p w:rsidR="008F5BAE" w:rsidRPr="008F5BAE" w:rsidRDefault="008F5BAE" w:rsidP="008F5BAE">
      <w:pPr>
        <w:spacing w:after="0" w:line="240" w:lineRule="auto"/>
        <w:ind w:left="900"/>
        <w:rPr>
          <w:rFonts w:eastAsia="Times New Roman" w:cs="Times New Roman"/>
          <w:sz w:val="24"/>
          <w:szCs w:val="24"/>
        </w:rPr>
      </w:pPr>
      <w:r w:rsidRPr="008F5BAE">
        <w:rPr>
          <w:rFonts w:eastAsia="Times New Roman" w:cs="Times New Roman"/>
          <w:sz w:val="24"/>
          <w:szCs w:val="24"/>
          <w:u w:val="single"/>
        </w:rPr>
        <w:t>Instructional Goal</w:t>
      </w:r>
      <w:r w:rsidRPr="008F5BAE">
        <w:rPr>
          <w:rFonts w:eastAsia="Times New Roman" w:cs="Times New Roman"/>
          <w:sz w:val="24"/>
          <w:szCs w:val="24"/>
        </w:rPr>
        <w:t xml:space="preserve">:  Cultivate an educational experience that is integrative, comprehensive, and interdisciplinary based on current best practices in public health. </w:t>
      </w:r>
    </w:p>
    <w:p w:rsidR="008F5BAE" w:rsidRPr="008F5BAE" w:rsidRDefault="008F5BAE" w:rsidP="008F5BAE">
      <w:pPr>
        <w:spacing w:after="0" w:line="240" w:lineRule="auto"/>
        <w:ind w:left="900"/>
        <w:rPr>
          <w:rFonts w:eastAsia="Times New Roman" w:cs="Times New Roman"/>
          <w:sz w:val="24"/>
          <w:szCs w:val="24"/>
        </w:rPr>
      </w:pPr>
      <w:r w:rsidRPr="008F5BAE">
        <w:rPr>
          <w:rFonts w:eastAsia="Times New Roman" w:cs="Times New Roman"/>
          <w:sz w:val="24"/>
          <w:szCs w:val="24"/>
          <w:u w:val="single"/>
        </w:rPr>
        <w:t>Service Goal:</w:t>
      </w:r>
      <w:r w:rsidRPr="008F5BAE">
        <w:rPr>
          <w:rFonts w:eastAsia="Times New Roman" w:cs="Times New Roman"/>
          <w:sz w:val="24"/>
          <w:szCs w:val="24"/>
        </w:rPr>
        <w:t xml:space="preserve"> Facilitate a culture of service that is collaborative, inclusive, and beneficial to diverse communities. </w:t>
      </w:r>
    </w:p>
    <w:p w:rsidR="008F5BAE" w:rsidRPr="008F5BAE" w:rsidRDefault="008F5BAE" w:rsidP="008F5BAE">
      <w:pPr>
        <w:spacing w:after="0" w:line="240" w:lineRule="auto"/>
        <w:ind w:left="900"/>
        <w:rPr>
          <w:rFonts w:eastAsia="Times New Roman" w:cs="Times New Roman"/>
          <w:sz w:val="24"/>
          <w:szCs w:val="24"/>
        </w:rPr>
      </w:pPr>
      <w:r w:rsidRPr="008F5BAE">
        <w:rPr>
          <w:rFonts w:eastAsia="Times New Roman" w:cs="Times New Roman"/>
          <w:sz w:val="24"/>
          <w:szCs w:val="24"/>
          <w:u w:val="single"/>
        </w:rPr>
        <w:t>Scholarship Goal:</w:t>
      </w:r>
      <w:r w:rsidRPr="008F5BAE">
        <w:rPr>
          <w:rFonts w:eastAsia="Times New Roman" w:cs="Times New Roman"/>
          <w:sz w:val="24"/>
          <w:szCs w:val="24"/>
        </w:rPr>
        <w:t xml:space="preserve"> Promote a collaborative environment conducive to timely and innovative scholarship that contributes to evidence-based public health practices and policies. </w:t>
      </w:r>
    </w:p>
    <w:p w:rsidR="00C640F7" w:rsidRDefault="00C640F7" w:rsidP="00BD732F">
      <w:pPr>
        <w:spacing w:after="0" w:line="240" w:lineRule="auto"/>
        <w:rPr>
          <w:rFonts w:eastAsia="Times New Roman" w:cs="Times New Roman"/>
          <w:sz w:val="24"/>
          <w:szCs w:val="24"/>
        </w:rPr>
      </w:pPr>
    </w:p>
    <w:p w:rsidR="008F5BAE" w:rsidRPr="008F5BAE" w:rsidRDefault="00C640F7" w:rsidP="00BD732F">
      <w:pPr>
        <w:spacing w:after="0" w:line="240" w:lineRule="auto"/>
        <w:rPr>
          <w:rFonts w:eastAsia="Times New Roman" w:cs="Times New Roman"/>
          <w:sz w:val="24"/>
          <w:szCs w:val="24"/>
        </w:rPr>
      </w:pPr>
      <w:r w:rsidRPr="00C640F7">
        <w:rPr>
          <w:rFonts w:eastAsia="Times New Roman" w:cs="Times New Roman"/>
          <w:b/>
          <w:sz w:val="24"/>
          <w:szCs w:val="24"/>
        </w:rPr>
        <w:t>Watkins/Ascensio m</w:t>
      </w:r>
      <w:r w:rsidR="008F5BAE" w:rsidRPr="008F5BAE">
        <w:rPr>
          <w:rFonts w:eastAsia="Times New Roman" w:cs="Times New Roman"/>
          <w:b/>
          <w:sz w:val="24"/>
          <w:szCs w:val="24"/>
        </w:rPr>
        <w:t>otion</w:t>
      </w:r>
      <w:r w:rsidR="008F5BAE" w:rsidRPr="008F5BAE">
        <w:rPr>
          <w:rFonts w:eastAsia="Times New Roman" w:cs="Times New Roman"/>
          <w:sz w:val="24"/>
          <w:szCs w:val="24"/>
        </w:rPr>
        <w:t xml:space="preserve"> to adopt </w:t>
      </w:r>
      <w:r w:rsidR="001720CB">
        <w:rPr>
          <w:rFonts w:eastAsia="Times New Roman" w:cs="Times New Roman"/>
          <w:sz w:val="24"/>
          <w:szCs w:val="24"/>
        </w:rPr>
        <w:t xml:space="preserve">proposed </w:t>
      </w:r>
      <w:hyperlink r:id="rId9" w:history="1">
        <w:r w:rsidR="008F5BAE" w:rsidRPr="001720CB">
          <w:rPr>
            <w:rFonts w:eastAsia="Times New Roman" w:cs="Times New Roman"/>
            <w:sz w:val="24"/>
            <w:szCs w:val="24"/>
          </w:rPr>
          <w:t>assessment plan</w:t>
        </w:r>
      </w:hyperlink>
      <w:r w:rsidRPr="001720CB">
        <w:rPr>
          <w:rFonts w:eastAsia="Times New Roman" w:cs="Times New Roman"/>
          <w:sz w:val="24"/>
          <w:szCs w:val="24"/>
        </w:rPr>
        <w:t xml:space="preserve">, </w:t>
      </w:r>
      <w:r>
        <w:rPr>
          <w:rFonts w:eastAsia="Times New Roman" w:cs="Times New Roman"/>
          <w:sz w:val="24"/>
          <w:szCs w:val="24"/>
        </w:rPr>
        <w:t xml:space="preserve">with one change: Curricular alignment every 3.5 years rather than 3.  Passed </w:t>
      </w:r>
      <w:proofErr w:type="spellStart"/>
      <w:r>
        <w:rPr>
          <w:rFonts w:eastAsia="Times New Roman" w:cs="Times New Roman"/>
          <w:sz w:val="24"/>
          <w:szCs w:val="24"/>
        </w:rPr>
        <w:t>unanimousely</w:t>
      </w:r>
      <w:proofErr w:type="spellEnd"/>
      <w:r>
        <w:rPr>
          <w:rFonts w:eastAsia="Times New Roman" w:cs="Times New Roman"/>
          <w:sz w:val="24"/>
          <w:szCs w:val="24"/>
        </w:rPr>
        <w:t>.</w:t>
      </w:r>
    </w:p>
    <w:p w:rsidR="001720CB" w:rsidRDefault="001720CB" w:rsidP="00BD732F">
      <w:pPr>
        <w:spacing w:after="0" w:line="240" w:lineRule="auto"/>
        <w:rPr>
          <w:rFonts w:eastAsia="Times New Roman" w:cs="Times New Roman"/>
          <w:sz w:val="24"/>
          <w:szCs w:val="24"/>
        </w:rPr>
      </w:pPr>
    </w:p>
    <w:p w:rsidR="008F5BAE" w:rsidRPr="008F5BAE" w:rsidRDefault="00C640F7" w:rsidP="00BD732F">
      <w:pPr>
        <w:spacing w:after="0" w:line="240" w:lineRule="auto"/>
        <w:rPr>
          <w:rFonts w:eastAsia="Times New Roman" w:cs="Times New Roman"/>
          <w:sz w:val="24"/>
          <w:szCs w:val="24"/>
        </w:rPr>
      </w:pPr>
      <w:r>
        <w:rPr>
          <w:rFonts w:eastAsia="Times New Roman" w:cs="Times New Roman"/>
          <w:sz w:val="24"/>
          <w:szCs w:val="24"/>
        </w:rPr>
        <w:lastRenderedPageBreak/>
        <w:t xml:space="preserve">There was a discussion about workforce development as defined in the 2016 CEPH criteria. </w:t>
      </w:r>
      <w:r>
        <w:rPr>
          <w:rFonts w:eastAsia="Times New Roman" w:cs="Times New Roman"/>
          <w:b/>
          <w:sz w:val="24"/>
          <w:szCs w:val="24"/>
        </w:rPr>
        <w:t xml:space="preserve"> </w:t>
      </w:r>
      <w:r w:rsidR="001720CB">
        <w:rPr>
          <w:rFonts w:eastAsia="Times New Roman" w:cs="Times New Roman"/>
          <w:sz w:val="24"/>
          <w:szCs w:val="24"/>
        </w:rPr>
        <w:t>Two p</w:t>
      </w:r>
      <w:r w:rsidR="005F261C">
        <w:rPr>
          <w:rFonts w:eastAsia="Times New Roman" w:cs="Times New Roman"/>
          <w:sz w:val="24"/>
          <w:szCs w:val="24"/>
        </w:rPr>
        <w:t>riority communities were defined</w:t>
      </w:r>
      <w:r w:rsidR="001720CB">
        <w:rPr>
          <w:rFonts w:eastAsia="Times New Roman" w:cs="Times New Roman"/>
          <w:sz w:val="24"/>
          <w:szCs w:val="24"/>
        </w:rPr>
        <w:t>: academic health department</w:t>
      </w:r>
      <w:r w:rsidR="005F6BD6">
        <w:rPr>
          <w:rFonts w:eastAsia="Times New Roman" w:cs="Times New Roman"/>
          <w:sz w:val="24"/>
          <w:szCs w:val="24"/>
        </w:rPr>
        <w:t xml:space="preserve"> (AHD)</w:t>
      </w:r>
      <w:r w:rsidR="001720CB">
        <w:rPr>
          <w:rFonts w:eastAsia="Times New Roman" w:cs="Times New Roman"/>
          <w:sz w:val="24"/>
          <w:szCs w:val="24"/>
        </w:rPr>
        <w:t xml:space="preserve"> partners, as workforce development is part of this partnership, and</w:t>
      </w:r>
      <w:r w:rsidR="005F261C">
        <w:rPr>
          <w:rFonts w:eastAsia="Times New Roman" w:cs="Times New Roman"/>
          <w:sz w:val="24"/>
          <w:szCs w:val="24"/>
        </w:rPr>
        <w:t xml:space="preserve"> </w:t>
      </w:r>
      <w:r w:rsidR="005F6BD6">
        <w:rPr>
          <w:rFonts w:eastAsia="Times New Roman" w:cs="Times New Roman"/>
          <w:sz w:val="24"/>
          <w:szCs w:val="24"/>
        </w:rPr>
        <w:t xml:space="preserve">local organizations serving marginalized populations, as this is part of our diversity plan. Macy recommended including priority populations to include organizations that provide internships and jobs to our graduates. Watkins suggested we focus on BRADD region. It was decided that we remain focused on the two populations for now, and assess potential for expansion at a later date.  There was a related discussion on assessing workforce needs.  Various avenues were identified: BECKY meetings, AHD discussions, </w:t>
      </w:r>
      <w:r w:rsidR="00431411">
        <w:rPr>
          <w:rFonts w:eastAsia="Times New Roman" w:cs="Times New Roman"/>
          <w:sz w:val="24"/>
          <w:szCs w:val="24"/>
        </w:rPr>
        <w:t>work</w:t>
      </w:r>
      <w:r w:rsidR="00AD18B5">
        <w:rPr>
          <w:rFonts w:eastAsia="Times New Roman" w:cs="Times New Roman"/>
          <w:sz w:val="24"/>
          <w:szCs w:val="24"/>
        </w:rPr>
        <w:t xml:space="preserve">force/employer survey and the workforce development survey being proposed/conducted by UK for the Commonwealth.  </w:t>
      </w:r>
      <w:r w:rsidR="00AD18B5" w:rsidRPr="00E737C5">
        <w:rPr>
          <w:rFonts w:eastAsia="Times New Roman" w:cs="Times New Roman"/>
          <w:sz w:val="24"/>
          <w:szCs w:val="24"/>
        </w:rPr>
        <w:t>Finally, we discussed an implementation plan which include online UG and Grad certificate programs</w:t>
      </w:r>
      <w:r w:rsidR="00E737C5" w:rsidRPr="00E737C5">
        <w:rPr>
          <w:rFonts w:eastAsia="Times New Roman" w:cs="Times New Roman"/>
          <w:sz w:val="24"/>
          <w:szCs w:val="24"/>
        </w:rPr>
        <w:t>,</w:t>
      </w:r>
      <w:r w:rsidR="00AD18B5" w:rsidRPr="00E737C5">
        <w:rPr>
          <w:rFonts w:eastAsia="Times New Roman" w:cs="Times New Roman"/>
          <w:sz w:val="24"/>
          <w:szCs w:val="24"/>
        </w:rPr>
        <w:t xml:space="preserve"> conducting a </w:t>
      </w:r>
      <w:r w:rsidR="00E737C5" w:rsidRPr="00E737C5">
        <w:rPr>
          <w:rFonts w:eastAsia="Times New Roman" w:cs="Times New Roman"/>
          <w:sz w:val="24"/>
          <w:szCs w:val="24"/>
        </w:rPr>
        <w:t>m</w:t>
      </w:r>
      <w:r w:rsidR="00AD18B5" w:rsidRPr="00E737C5">
        <w:rPr>
          <w:sz w:val="24"/>
          <w:szCs w:val="24"/>
        </w:rPr>
        <w:t>inimum of one workshop each year to an AHD on a priorit</w:t>
      </w:r>
      <w:r w:rsidR="00E737C5" w:rsidRPr="00E737C5">
        <w:rPr>
          <w:sz w:val="24"/>
          <w:szCs w:val="24"/>
        </w:rPr>
        <w:t>y area identified in assessment, and conducting a m</w:t>
      </w:r>
      <w:r w:rsidR="00AD18B5" w:rsidRPr="00E737C5">
        <w:rPr>
          <w:sz w:val="24"/>
          <w:szCs w:val="24"/>
        </w:rPr>
        <w:t xml:space="preserve">inimum of workshop every </w:t>
      </w:r>
      <w:r w:rsidR="00E737C5" w:rsidRPr="00E737C5">
        <w:rPr>
          <w:sz w:val="24"/>
          <w:szCs w:val="24"/>
        </w:rPr>
        <w:t xml:space="preserve">other </w:t>
      </w:r>
      <w:r w:rsidR="00AD18B5" w:rsidRPr="00E737C5">
        <w:rPr>
          <w:sz w:val="24"/>
          <w:szCs w:val="24"/>
        </w:rPr>
        <w:t xml:space="preserve">year to </w:t>
      </w:r>
      <w:r w:rsidR="00E737C5" w:rsidRPr="00E737C5">
        <w:rPr>
          <w:sz w:val="24"/>
          <w:szCs w:val="24"/>
        </w:rPr>
        <w:t>an organization(s) serving marginalized populations.</w:t>
      </w:r>
      <w:r w:rsidR="00E737C5">
        <w:rPr>
          <w:sz w:val="24"/>
          <w:szCs w:val="24"/>
        </w:rPr>
        <w:t xml:space="preserve">  </w:t>
      </w:r>
      <w:r>
        <w:rPr>
          <w:rFonts w:eastAsia="Times New Roman" w:cs="Times New Roman"/>
          <w:b/>
          <w:sz w:val="24"/>
          <w:szCs w:val="24"/>
        </w:rPr>
        <w:t xml:space="preserve"> </w:t>
      </w:r>
      <w:proofErr w:type="spellStart"/>
      <w:r w:rsidRPr="00C640F7">
        <w:rPr>
          <w:rFonts w:eastAsia="Times New Roman" w:cs="Times New Roman"/>
          <w:b/>
          <w:sz w:val="24"/>
          <w:szCs w:val="24"/>
        </w:rPr>
        <w:t>Larty</w:t>
      </w:r>
      <w:proofErr w:type="spellEnd"/>
      <w:r w:rsidRPr="00C640F7">
        <w:rPr>
          <w:rFonts w:eastAsia="Times New Roman" w:cs="Times New Roman"/>
          <w:b/>
          <w:sz w:val="24"/>
          <w:szCs w:val="24"/>
        </w:rPr>
        <w:t>/Ding m</w:t>
      </w:r>
      <w:r w:rsidR="008F5BAE" w:rsidRPr="008F5BAE">
        <w:rPr>
          <w:rFonts w:eastAsia="Times New Roman" w:cs="Times New Roman"/>
          <w:b/>
          <w:sz w:val="24"/>
          <w:szCs w:val="24"/>
        </w:rPr>
        <w:t>otion</w:t>
      </w:r>
      <w:r w:rsidR="008F5BAE" w:rsidRPr="008F5BAE">
        <w:rPr>
          <w:rFonts w:eastAsia="Times New Roman" w:cs="Times New Roman"/>
          <w:sz w:val="24"/>
          <w:szCs w:val="24"/>
        </w:rPr>
        <w:t xml:space="preserve"> to adopt workforce priority communities, assessm</w:t>
      </w:r>
      <w:r w:rsidR="00E737C5">
        <w:rPr>
          <w:rFonts w:eastAsia="Times New Roman" w:cs="Times New Roman"/>
          <w:sz w:val="24"/>
          <w:szCs w:val="24"/>
        </w:rPr>
        <w:t>ent &amp; implementation plan.</w:t>
      </w:r>
    </w:p>
    <w:p w:rsidR="00BD732F" w:rsidRDefault="00BD732F" w:rsidP="00BD732F">
      <w:pPr>
        <w:spacing w:after="0" w:line="240" w:lineRule="auto"/>
        <w:rPr>
          <w:rFonts w:eastAsia="Times New Roman" w:cs="Times New Roman"/>
          <w:sz w:val="24"/>
          <w:szCs w:val="24"/>
        </w:rPr>
      </w:pPr>
    </w:p>
    <w:p w:rsidR="008F5BAE" w:rsidRPr="008F5BAE" w:rsidRDefault="00BD732F" w:rsidP="00BD732F">
      <w:pPr>
        <w:spacing w:after="0" w:line="240" w:lineRule="auto"/>
        <w:rPr>
          <w:rFonts w:eastAsia="Times New Roman" w:cs="Times New Roman"/>
          <w:sz w:val="24"/>
          <w:szCs w:val="24"/>
        </w:rPr>
      </w:pPr>
      <w:r>
        <w:rPr>
          <w:rFonts w:eastAsia="Times New Roman" w:cs="Times New Roman"/>
          <w:sz w:val="24"/>
          <w:szCs w:val="24"/>
        </w:rPr>
        <w:t xml:space="preserve">Gardner went over timeline for tasks and summer homework.  Watkins recommended a reminder email be sent out. </w:t>
      </w:r>
      <w:r w:rsidR="00E737C5">
        <w:rPr>
          <w:rFonts w:eastAsia="Times New Roman" w:cs="Times New Roman"/>
          <w:sz w:val="24"/>
          <w:szCs w:val="24"/>
        </w:rPr>
        <w:t xml:space="preserve"> Task included: </w:t>
      </w:r>
    </w:p>
    <w:p w:rsidR="008F5BAE" w:rsidRPr="008F5BAE" w:rsidRDefault="008F5BAE" w:rsidP="008F5BAE">
      <w:pPr>
        <w:spacing w:after="0" w:line="240" w:lineRule="auto"/>
        <w:ind w:left="900"/>
        <w:rPr>
          <w:rFonts w:eastAsia="Times New Roman" w:cs="Times New Roman"/>
          <w:sz w:val="24"/>
          <w:szCs w:val="24"/>
        </w:rPr>
      </w:pPr>
      <w:r w:rsidRPr="008F5BAE">
        <w:rPr>
          <w:rFonts w:eastAsia="Times New Roman" w:cs="Times New Roman"/>
          <w:sz w:val="24"/>
          <w:szCs w:val="24"/>
        </w:rPr>
        <w:t xml:space="preserve">1. </w:t>
      </w:r>
      <w:r w:rsidR="00E737C5">
        <w:rPr>
          <w:rFonts w:eastAsia="Times New Roman" w:cs="Times New Roman"/>
          <w:sz w:val="24"/>
          <w:szCs w:val="24"/>
        </w:rPr>
        <w:t>Providing Gardner with d</w:t>
      </w:r>
      <w:r w:rsidRPr="008F5BAE">
        <w:rPr>
          <w:rFonts w:eastAsia="Times New Roman" w:cs="Times New Roman"/>
          <w:sz w:val="24"/>
          <w:szCs w:val="24"/>
        </w:rPr>
        <w:t xml:space="preserve">escription of project types </w:t>
      </w:r>
      <w:r w:rsidR="00E737C5">
        <w:rPr>
          <w:rFonts w:eastAsia="Times New Roman" w:cs="Times New Roman"/>
          <w:sz w:val="24"/>
          <w:szCs w:val="24"/>
        </w:rPr>
        <w:t xml:space="preserve">to embed </w:t>
      </w:r>
      <w:proofErr w:type="spellStart"/>
      <w:r w:rsidR="00E737C5">
        <w:rPr>
          <w:rFonts w:eastAsia="Times New Roman" w:cs="Times New Roman"/>
          <w:sz w:val="24"/>
          <w:szCs w:val="24"/>
        </w:rPr>
        <w:t>GrAPEs</w:t>
      </w:r>
      <w:proofErr w:type="spellEnd"/>
    </w:p>
    <w:p w:rsidR="008F5BAE" w:rsidRPr="008F5BAE" w:rsidRDefault="008F5BAE" w:rsidP="008F5BAE">
      <w:pPr>
        <w:spacing w:after="0" w:line="240" w:lineRule="auto"/>
        <w:ind w:left="900"/>
        <w:rPr>
          <w:rFonts w:eastAsia="Times New Roman" w:cs="Times New Roman"/>
          <w:sz w:val="24"/>
          <w:szCs w:val="24"/>
        </w:rPr>
      </w:pPr>
      <w:r w:rsidRPr="008F5BAE">
        <w:rPr>
          <w:rFonts w:eastAsia="Times New Roman" w:cs="Times New Roman"/>
          <w:sz w:val="24"/>
          <w:szCs w:val="24"/>
        </w:rPr>
        <w:t>2. Syllabi update: August (fall and spring courses, please)</w:t>
      </w:r>
    </w:p>
    <w:p w:rsidR="008F5BAE" w:rsidRPr="008F5BAE" w:rsidRDefault="008F5BAE" w:rsidP="008F5BAE">
      <w:pPr>
        <w:spacing w:after="0" w:line="240" w:lineRule="auto"/>
        <w:ind w:left="900"/>
        <w:rPr>
          <w:rFonts w:eastAsia="Times New Roman" w:cs="Times New Roman"/>
          <w:sz w:val="24"/>
          <w:szCs w:val="24"/>
        </w:rPr>
      </w:pPr>
      <w:r w:rsidRPr="008F5BAE">
        <w:rPr>
          <w:rFonts w:eastAsia="Times New Roman" w:cs="Times New Roman"/>
          <w:sz w:val="24"/>
          <w:szCs w:val="24"/>
        </w:rPr>
        <w:t>3. Curricular revi</w:t>
      </w:r>
      <w:r w:rsidR="00E737C5">
        <w:rPr>
          <w:rFonts w:eastAsia="Times New Roman" w:cs="Times New Roman"/>
          <w:sz w:val="24"/>
          <w:szCs w:val="24"/>
        </w:rPr>
        <w:t>ew: the sequel:  August workday</w:t>
      </w:r>
    </w:p>
    <w:p w:rsidR="008F5BAE" w:rsidRPr="008F5BAE" w:rsidRDefault="008F5BAE" w:rsidP="008F5BAE">
      <w:pPr>
        <w:spacing w:after="0" w:line="240" w:lineRule="auto"/>
        <w:ind w:left="900"/>
        <w:rPr>
          <w:rFonts w:eastAsia="Times New Roman" w:cs="Times New Roman"/>
          <w:sz w:val="24"/>
          <w:szCs w:val="24"/>
        </w:rPr>
      </w:pPr>
      <w:r w:rsidRPr="008F5BAE">
        <w:rPr>
          <w:rFonts w:eastAsia="Times New Roman" w:cs="Times New Roman"/>
          <w:sz w:val="24"/>
          <w:szCs w:val="24"/>
        </w:rPr>
        <w:t xml:space="preserve">4. Review/revise </w:t>
      </w:r>
      <w:r w:rsidR="00E737C5">
        <w:rPr>
          <w:rFonts w:eastAsia="Times New Roman" w:cs="Times New Roman"/>
          <w:sz w:val="24"/>
          <w:szCs w:val="24"/>
        </w:rPr>
        <w:t>interim report:  August workday</w:t>
      </w:r>
    </w:p>
    <w:p w:rsidR="008F5BAE" w:rsidRPr="008F5BAE" w:rsidRDefault="008F5BAE" w:rsidP="008F5BAE">
      <w:pPr>
        <w:spacing w:after="0" w:line="240" w:lineRule="auto"/>
        <w:ind w:left="900"/>
        <w:rPr>
          <w:rFonts w:eastAsia="Times New Roman" w:cs="Times New Roman"/>
          <w:sz w:val="24"/>
          <w:szCs w:val="24"/>
        </w:rPr>
      </w:pPr>
      <w:r w:rsidRPr="008F5BAE">
        <w:rPr>
          <w:rFonts w:eastAsia="Times New Roman" w:cs="Times New Roman"/>
          <w:sz w:val="24"/>
          <w:szCs w:val="24"/>
        </w:rPr>
        <w:t xml:space="preserve">5. New student orientation:  Create </w:t>
      </w:r>
      <w:proofErr w:type="spellStart"/>
      <w:r w:rsidRPr="008F5BAE">
        <w:rPr>
          <w:rFonts w:eastAsia="Times New Roman" w:cs="Times New Roman"/>
          <w:sz w:val="24"/>
          <w:szCs w:val="24"/>
        </w:rPr>
        <w:t>media</w:t>
      </w:r>
      <w:r w:rsidR="00E737C5">
        <w:rPr>
          <w:rFonts w:eastAsia="Times New Roman" w:cs="Times New Roman"/>
          <w:sz w:val="24"/>
          <w:szCs w:val="24"/>
        </w:rPr>
        <w:t>site</w:t>
      </w:r>
      <w:proofErr w:type="spellEnd"/>
      <w:r w:rsidR="00E737C5">
        <w:rPr>
          <w:rFonts w:eastAsia="Times New Roman" w:cs="Times New Roman"/>
          <w:sz w:val="24"/>
          <w:szCs w:val="24"/>
        </w:rPr>
        <w:t xml:space="preserve"> intros for online students</w:t>
      </w:r>
    </w:p>
    <w:p w:rsidR="00E737C5" w:rsidRDefault="00E737C5" w:rsidP="008F5BAE">
      <w:pPr>
        <w:spacing w:after="0" w:line="240" w:lineRule="auto"/>
        <w:rPr>
          <w:rFonts w:eastAsia="Times New Roman" w:cs="Times New Roman"/>
          <w:sz w:val="24"/>
          <w:szCs w:val="24"/>
        </w:rPr>
      </w:pPr>
    </w:p>
    <w:p w:rsidR="008F5BAE" w:rsidRPr="008F5BAE" w:rsidRDefault="00E737C5" w:rsidP="008F5BAE">
      <w:pPr>
        <w:spacing w:after="0" w:line="240" w:lineRule="auto"/>
        <w:rPr>
          <w:rFonts w:eastAsia="Times New Roman" w:cs="Times New Roman"/>
          <w:sz w:val="24"/>
          <w:szCs w:val="24"/>
        </w:rPr>
      </w:pPr>
      <w:r>
        <w:rPr>
          <w:rFonts w:eastAsia="Times New Roman" w:cs="Times New Roman"/>
          <w:sz w:val="24"/>
          <w:szCs w:val="24"/>
        </w:rPr>
        <w:t xml:space="preserve">Ascensio provided PHUGAS update which included their success in having a resolution passed by SGA to increase international tuition scholarship hours. </w:t>
      </w:r>
    </w:p>
    <w:p w:rsidR="008F5BAE" w:rsidRPr="008F5BAE" w:rsidRDefault="008F5BAE" w:rsidP="00E737C5">
      <w:pPr>
        <w:spacing w:after="0" w:line="240" w:lineRule="auto"/>
        <w:ind w:left="450"/>
        <w:rPr>
          <w:rFonts w:eastAsia="Times New Roman" w:cs="Times New Roman"/>
          <w:sz w:val="24"/>
          <w:szCs w:val="24"/>
        </w:rPr>
      </w:pPr>
    </w:p>
    <w:p w:rsidR="008F5BAE" w:rsidRDefault="00BD732F" w:rsidP="00E737C5">
      <w:pPr>
        <w:spacing w:after="0" w:line="240" w:lineRule="auto"/>
        <w:rPr>
          <w:rFonts w:eastAsia="Times New Roman" w:cs="Times New Roman"/>
          <w:sz w:val="24"/>
          <w:szCs w:val="24"/>
        </w:rPr>
      </w:pPr>
      <w:r>
        <w:rPr>
          <w:rFonts w:eastAsia="Times New Roman" w:cs="Times New Roman"/>
          <w:sz w:val="24"/>
          <w:szCs w:val="24"/>
        </w:rPr>
        <w:t xml:space="preserve">Gardner went over information for Graduate hooding ceremony and </w:t>
      </w:r>
      <w:proofErr w:type="gramStart"/>
      <w:r w:rsidRPr="00E737C5">
        <w:rPr>
          <w:rFonts w:eastAsia="Times New Roman" w:cs="Times New Roman"/>
          <w:sz w:val="24"/>
          <w:szCs w:val="24"/>
        </w:rPr>
        <w:t xml:space="preserve">presented </w:t>
      </w:r>
      <w:r w:rsidR="008F5BAE" w:rsidRPr="008F5BAE">
        <w:rPr>
          <w:rFonts w:eastAsia="Times New Roman" w:cs="Times New Roman"/>
          <w:sz w:val="24"/>
          <w:szCs w:val="24"/>
        </w:rPr>
        <w:t xml:space="preserve"> </w:t>
      </w:r>
      <w:proofErr w:type="gramEnd"/>
      <w:hyperlink r:id="rId10" w:history="1">
        <w:r w:rsidR="008F5BAE" w:rsidRPr="00E737C5">
          <w:rPr>
            <w:rFonts w:eastAsia="Times New Roman" w:cs="Times New Roman"/>
            <w:sz w:val="24"/>
            <w:szCs w:val="24"/>
          </w:rPr>
          <w:t>AY 17/18  meeting/event dates</w:t>
        </w:r>
      </w:hyperlink>
      <w:r w:rsidR="00E737C5">
        <w:rPr>
          <w:rFonts w:eastAsia="Times New Roman" w:cs="Times New Roman"/>
          <w:sz w:val="24"/>
          <w:szCs w:val="24"/>
        </w:rPr>
        <w:t>.</w:t>
      </w:r>
    </w:p>
    <w:p w:rsidR="00FD2324" w:rsidRDefault="00FD2324" w:rsidP="00E737C5">
      <w:pPr>
        <w:spacing w:after="0" w:line="240" w:lineRule="auto"/>
        <w:rPr>
          <w:rFonts w:eastAsia="Times New Roman" w:cs="Times New Roman"/>
          <w:sz w:val="24"/>
          <w:szCs w:val="24"/>
        </w:rPr>
      </w:pPr>
    </w:p>
    <w:p w:rsidR="00FD2324" w:rsidRPr="008F5BAE" w:rsidRDefault="00FD2324" w:rsidP="00E737C5">
      <w:pPr>
        <w:spacing w:after="0" w:line="240" w:lineRule="auto"/>
        <w:rPr>
          <w:rFonts w:eastAsia="Times New Roman" w:cs="Times New Roman"/>
          <w:sz w:val="24"/>
          <w:szCs w:val="24"/>
        </w:rPr>
      </w:pPr>
      <w:r w:rsidRPr="00FD2324">
        <w:rPr>
          <w:rFonts w:eastAsia="Times New Roman" w:cs="Times New Roman"/>
          <w:b/>
          <w:sz w:val="24"/>
          <w:szCs w:val="24"/>
        </w:rPr>
        <w:t>Lartey/Ding motion</w:t>
      </w:r>
      <w:r>
        <w:rPr>
          <w:rFonts w:eastAsia="Times New Roman" w:cs="Times New Roman"/>
          <w:sz w:val="24"/>
          <w:szCs w:val="24"/>
        </w:rPr>
        <w:t xml:space="preserve"> to adjourn.</w:t>
      </w:r>
    </w:p>
    <w:p w:rsidR="00E737C5" w:rsidRPr="00E737C5" w:rsidRDefault="00E737C5"/>
    <w:sectPr w:rsidR="00E737C5" w:rsidRPr="00E73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D1A44"/>
    <w:multiLevelType w:val="hybridMultilevel"/>
    <w:tmpl w:val="B3D2349C"/>
    <w:lvl w:ilvl="0" w:tplc="C98817E4">
      <w:start w:val="1"/>
      <w:numFmt w:val="decimal"/>
      <w:lvlText w:val="%1."/>
      <w:lvlJc w:val="left"/>
      <w:pPr>
        <w:tabs>
          <w:tab w:val="num" w:pos="720"/>
        </w:tabs>
        <w:ind w:left="720" w:hanging="360"/>
      </w:pPr>
    </w:lvl>
    <w:lvl w:ilvl="1" w:tplc="0EAAFE0E" w:tentative="1">
      <w:start w:val="1"/>
      <w:numFmt w:val="decimal"/>
      <w:lvlText w:val="%2."/>
      <w:lvlJc w:val="left"/>
      <w:pPr>
        <w:tabs>
          <w:tab w:val="num" w:pos="1440"/>
        </w:tabs>
        <w:ind w:left="1440" w:hanging="360"/>
      </w:pPr>
    </w:lvl>
    <w:lvl w:ilvl="2" w:tplc="1FE87972" w:tentative="1">
      <w:start w:val="1"/>
      <w:numFmt w:val="decimal"/>
      <w:lvlText w:val="%3."/>
      <w:lvlJc w:val="left"/>
      <w:pPr>
        <w:tabs>
          <w:tab w:val="num" w:pos="2160"/>
        </w:tabs>
        <w:ind w:left="2160" w:hanging="360"/>
      </w:pPr>
    </w:lvl>
    <w:lvl w:ilvl="3" w:tplc="8C647DF8" w:tentative="1">
      <w:start w:val="1"/>
      <w:numFmt w:val="decimal"/>
      <w:lvlText w:val="%4."/>
      <w:lvlJc w:val="left"/>
      <w:pPr>
        <w:tabs>
          <w:tab w:val="num" w:pos="2880"/>
        </w:tabs>
        <w:ind w:left="2880" w:hanging="360"/>
      </w:pPr>
    </w:lvl>
    <w:lvl w:ilvl="4" w:tplc="0B5658C4" w:tentative="1">
      <w:start w:val="1"/>
      <w:numFmt w:val="decimal"/>
      <w:lvlText w:val="%5."/>
      <w:lvlJc w:val="left"/>
      <w:pPr>
        <w:tabs>
          <w:tab w:val="num" w:pos="3600"/>
        </w:tabs>
        <w:ind w:left="3600" w:hanging="360"/>
      </w:pPr>
    </w:lvl>
    <w:lvl w:ilvl="5" w:tplc="EE222E1C" w:tentative="1">
      <w:start w:val="1"/>
      <w:numFmt w:val="decimal"/>
      <w:lvlText w:val="%6."/>
      <w:lvlJc w:val="left"/>
      <w:pPr>
        <w:tabs>
          <w:tab w:val="num" w:pos="4320"/>
        </w:tabs>
        <w:ind w:left="4320" w:hanging="360"/>
      </w:pPr>
    </w:lvl>
    <w:lvl w:ilvl="6" w:tplc="3B0CB310" w:tentative="1">
      <w:start w:val="1"/>
      <w:numFmt w:val="decimal"/>
      <w:lvlText w:val="%7."/>
      <w:lvlJc w:val="left"/>
      <w:pPr>
        <w:tabs>
          <w:tab w:val="num" w:pos="5040"/>
        </w:tabs>
        <w:ind w:left="5040" w:hanging="360"/>
      </w:pPr>
    </w:lvl>
    <w:lvl w:ilvl="7" w:tplc="F32EAE7C" w:tentative="1">
      <w:start w:val="1"/>
      <w:numFmt w:val="decimal"/>
      <w:lvlText w:val="%8."/>
      <w:lvlJc w:val="left"/>
      <w:pPr>
        <w:tabs>
          <w:tab w:val="num" w:pos="5760"/>
        </w:tabs>
        <w:ind w:left="5760" w:hanging="360"/>
      </w:pPr>
    </w:lvl>
    <w:lvl w:ilvl="8" w:tplc="7526C5C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AE"/>
    <w:rsid w:val="001720CB"/>
    <w:rsid w:val="001D6F17"/>
    <w:rsid w:val="00293001"/>
    <w:rsid w:val="00341F79"/>
    <w:rsid w:val="004108C1"/>
    <w:rsid w:val="00431411"/>
    <w:rsid w:val="00464E84"/>
    <w:rsid w:val="005F261C"/>
    <w:rsid w:val="005F6BD6"/>
    <w:rsid w:val="00622CF0"/>
    <w:rsid w:val="008F5BAE"/>
    <w:rsid w:val="00921B59"/>
    <w:rsid w:val="00AD18B5"/>
    <w:rsid w:val="00BD732F"/>
    <w:rsid w:val="00C640F7"/>
    <w:rsid w:val="00E737C5"/>
    <w:rsid w:val="00FD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2ECF3-3ADF-4574-909F-34B2C068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5B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5B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5B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5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2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u.edu/publichealth/mph_bsph_meetings/mph_may17/grape_ile_min_4_25_2017.docx" TargetMode="External"/><Relationship Id="rId3" Type="http://schemas.openxmlformats.org/officeDocument/2006/relationships/settings" Target="settings.xml"/><Relationship Id="rId7" Type="http://schemas.openxmlformats.org/officeDocument/2006/relationships/hyperlink" Target="http://www.wku.edu/publichealth/mph_bsph_meetings/mph_may17/diversity_minutes_may_3_2017.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ku.edu/publichealth/mph_bsph_meetings/mph_may17/admissions_report_may17.docx" TargetMode="External"/><Relationship Id="rId11" Type="http://schemas.openxmlformats.org/officeDocument/2006/relationships/fontTable" Target="fontTable.xml"/><Relationship Id="rId5" Type="http://schemas.openxmlformats.org/officeDocument/2006/relationships/hyperlink" Target="http://www.wku.edu/publichealth/mph_bsph_meetings/mph_may17/bsph_sample_syllabus.doc" TargetMode="External"/><Relationship Id="rId10" Type="http://schemas.openxmlformats.org/officeDocument/2006/relationships/hyperlink" Target="http://www.wku.edu/publichealth/mph_bsph_meetings/mph_may17/meeting_dates_ay17_18.docx" TargetMode="External"/><Relationship Id="rId4" Type="http://schemas.openxmlformats.org/officeDocument/2006/relationships/webSettings" Target="webSettings.xml"/><Relationship Id="rId9" Type="http://schemas.openxmlformats.org/officeDocument/2006/relationships/hyperlink" Target="http://www.wku.edu/publichealth/mph_bsph_meetings/mph_may17/assessment_plan_vo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3</cp:revision>
  <dcterms:created xsi:type="dcterms:W3CDTF">2017-06-14T00:38:00Z</dcterms:created>
  <dcterms:modified xsi:type="dcterms:W3CDTF">2017-09-10T20:43:00Z</dcterms:modified>
</cp:coreProperties>
</file>